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ED57E2" w:rsidRPr="00ED57E2">
              <w:rPr>
                <w:rFonts w:ascii="Times New Roman" w:hAnsi="Times New Roman"/>
                <w:b/>
                <w:sz w:val="24"/>
                <w:szCs w:val="24"/>
              </w:rPr>
              <w:t>o agrotehničkim mjerama i mjerama za uređivanje i održavanje poljoprivrednih rudina</w:t>
            </w:r>
            <w:r w:rsidR="009E6794">
              <w:rPr>
                <w:rFonts w:ascii="Times New Roman" w:hAnsi="Times New Roman"/>
                <w:b/>
                <w:sz w:val="24"/>
                <w:szCs w:val="24"/>
              </w:rPr>
              <w:t xml:space="preserve"> te mjerama zaštite od požara na poljoprivrednom zemljištu</w:t>
            </w:r>
            <w:r w:rsidR="00ED57E2" w:rsidRPr="00ED57E2">
              <w:rPr>
                <w:rFonts w:ascii="Times New Roman" w:hAnsi="Times New Roman"/>
                <w:b/>
                <w:sz w:val="24"/>
                <w:szCs w:val="24"/>
              </w:rPr>
              <w:t xml:space="preserve"> na području Općine </w:t>
            </w:r>
            <w:r w:rsidR="009E6794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176325" w:rsidP="0017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325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76325" w:rsidRPr="00F36218" w:rsidRDefault="00176325" w:rsidP="0017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:rsidTr="00176325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176325" w:rsidP="00ED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>svibnja 2019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ED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763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>svibnja 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:rsidTr="005E4A45">
        <w:tc>
          <w:tcPr>
            <w:tcW w:w="9288" w:type="dxa"/>
          </w:tcPr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9. ožujka 2018. godine na snagu je stupio novi Zakon o poljoprivrednom zemljištu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(„Narodne novine“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br. 20/18 i 115/18) – dalje u tekstu: Zakon,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temeljem kojega je donijet novi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Pravilnik o agrotehničkim mjerama („Narodne novine“, br. 22/19) –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u tekstu: Pravilnik, koji je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stupio na snagu 14. ožujka 2019. godine, stoga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176325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pristupila izradi nove Odluke o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agrotehničkim mjerama i mjerama za uređivanje i održavanje poljoprivrednih rudina.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Pravni temelj za donošenje ove Odluke je članak 10. stavak 1. Zakona kojim je određeno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Općinsko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vijeće za svoje područje propisuje potrebe agrotehničke mjere u slučajevima 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kojima bi propuštanje tih mjera nanijelo štetu, onemogućilo ili 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jilo poljoprivrednu proizvodnju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Pravilniku, te članak 12. stavak 1. Zakona kojim je određeno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za svoje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područje propisuje mjere za uređivanje i održavanje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joprivrednih rudina, a osobito: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održavanje živica i međa, održavanje poljskih putova, uređivanj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održavanje kanala oborinske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odvodnje, sprječavanje zasjenjivanja susjednih čestica te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nju i održavanje vjetrobranskih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pojasa.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U skladu s navedenim propisima izrađena je nova Odluka o agrotehničkim mjerama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mjerama za uređivanje i održavanje poljoprivrednih rudina koja sadrži odredbe o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1. agrotehničkim mjerama: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a) minimalna razina obrade i održavanja poljoprivrednog zemljišta povoljnim za uzgoj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b) sprječavanje zakorovljenosti i obrastanja višegodišnjim raslinjem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c) suzbijanje organizama štetnih za bilje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d) gospodarenje biljnim ostatcima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e) održavanje organske tvari i humusa u tlu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f) održavanje povoljne strukture tla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g) zaštita od erozije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h) održavanje plodnosti tla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2. mjerama za uređivanje i održavanje poljoprivrednih rudina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a) održavanje živica i međa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b) održavanje poljskih putova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c) uređivanje i održavanje kanala oborinske odvodnje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d) sprječavanje zasjenjivanja susjednih čestica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e) sadnja i održavanje vjetrobranskih pojasa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3. posebnim mjerama zaštite od požara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4. nadzoru nad provođenjem Odluke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5. kaznene odredbe.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agrotehničke mjere i mjere za uređivanje i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ržavanje poljoprivrednih rudina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ovom Odlukom su propisane i posebne mjere zaštite od požara na poljoprivrednom zemljištu,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8. stavka 2. Zakona o zaštiti od požara („Narodne novine“, br.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92/10)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i članka 11. stavka 3. Zakona o održivom gospodarenju otpadom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broj 94/13,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73/17 i 14/19).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Nadzor nad provedbom odredbi ove Odluke sukladno Zakonu o poljoprivrednom zemljištu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provodi poljoprivredni redar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6F4F8A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i nadležne inspekcije ovlaštene posebnim propisima.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Kaznene odredbe iz nacrta Odluke o agrotehničkim mjerama i mjerama za uređivanje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održavanje poljoprivrednih rudina određene su sukladno Prekrš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ajnom zakonu („Narodne novine“,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br. 107/07, 39/13, 157/13, 110/15, 70/17, 118/18).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Stupanjem na snagu ove Odluke prestaje važiti Odluka o agrotehničkim mjerama u</w:t>
            </w:r>
          </w:p>
          <w:p w:rsidR="007049FD" w:rsidRPr="00990DD0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poljoprivredi </w:t>
            </w:r>
            <w:r w:rsidR="006F4F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mjerama za uređivanje i održavanje poljoprivrednih rudina </w:t>
            </w:r>
            <w:r w:rsidR="006F4F8A">
              <w:rPr>
                <w:rFonts w:ascii="Times New Roman" w:hAnsi="Times New Roman" w:cs="Times New Roman"/>
                <w:sz w:val="24"/>
                <w:szCs w:val="24"/>
              </w:rPr>
              <w:t xml:space="preserve">te mjerama zaštite od požara na poljoprivrednom zemljištu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6F4F8A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("Službeni vjesnik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Koprivničko - križevačke županije", broj 10/15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ED57E2">
        <w:rPr>
          <w:rFonts w:ascii="Times New Roman" w:hAnsi="Times New Roman"/>
          <w:sz w:val="24"/>
          <w:szCs w:val="24"/>
        </w:rPr>
        <w:t xml:space="preserve"> </w:t>
      </w:r>
      <w:r w:rsidR="006F4F8A">
        <w:rPr>
          <w:rFonts w:ascii="Times New Roman" w:hAnsi="Times New Roman"/>
          <w:sz w:val="24"/>
          <w:szCs w:val="24"/>
        </w:rPr>
        <w:t>24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D57E2">
        <w:rPr>
          <w:rFonts w:ascii="Times New Roman" w:hAnsi="Times New Roman"/>
          <w:sz w:val="24"/>
          <w:szCs w:val="24"/>
        </w:rPr>
        <w:t>svibnja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D57E2">
        <w:rPr>
          <w:rFonts w:ascii="Times New Roman" w:hAnsi="Times New Roman"/>
          <w:sz w:val="24"/>
          <w:szCs w:val="24"/>
        </w:rPr>
        <w:t>2019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ED57E2" w:rsidRPr="00ED57E2">
        <w:rPr>
          <w:rFonts w:ascii="Times New Roman" w:hAnsi="Times New Roman"/>
          <w:sz w:val="24"/>
          <w:szCs w:val="24"/>
        </w:rPr>
        <w:t xml:space="preserve">o agrotehničkim mjerama i mjerama za uređivanje i održavanje poljoprivrednih rudina </w:t>
      </w:r>
      <w:r w:rsidR="006F4F8A">
        <w:rPr>
          <w:rFonts w:ascii="Times New Roman" w:hAnsi="Times New Roman"/>
          <w:sz w:val="24"/>
          <w:szCs w:val="24"/>
        </w:rPr>
        <w:t xml:space="preserve">te mjerama zaštite od požara </w:t>
      </w:r>
      <w:r w:rsidR="00ED57E2" w:rsidRPr="00ED57E2">
        <w:rPr>
          <w:rFonts w:ascii="Times New Roman" w:hAnsi="Times New Roman"/>
          <w:sz w:val="24"/>
          <w:szCs w:val="24"/>
        </w:rPr>
        <w:t xml:space="preserve">na području Općine </w:t>
      </w:r>
      <w:r w:rsidR="006F4F8A">
        <w:rPr>
          <w:rFonts w:ascii="Times New Roman" w:hAnsi="Times New Roman"/>
          <w:sz w:val="24"/>
          <w:szCs w:val="24"/>
        </w:rPr>
        <w:t>Kalnik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6F4F8A" w:rsidRPr="00A30C9B">
          <w:rPr>
            <w:rStyle w:val="Hiperveza"/>
            <w:rFonts w:ascii="Times New Roman" w:hAnsi="Times New Roman"/>
            <w:sz w:val="24"/>
            <w:szCs w:val="24"/>
          </w:rPr>
          <w:t>opcina-kalnika@kalnik.hr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6F4F8A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F4F8A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6F4F8A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</w:t>
      </w:r>
      <w:bookmarkStart w:id="0" w:name="_GoBack"/>
      <w:bookmarkEnd w:id="0"/>
      <w:r w:rsidR="00AB71C9">
        <w:rPr>
          <w:rFonts w:ascii="Times New Roman" w:hAnsi="Times New Roman" w:cs="Times New Roman"/>
          <w:sz w:val="24"/>
          <w:szCs w:val="24"/>
        </w:rPr>
        <w:t xml:space="preserve">i što kvalitetnijeg Nacrta </w:t>
      </w:r>
      <w:r w:rsidR="007049FD">
        <w:rPr>
          <w:rFonts w:ascii="Times New Roman" w:hAnsi="Times New Roman"/>
          <w:sz w:val="24"/>
          <w:szCs w:val="24"/>
        </w:rPr>
        <w:t>Odluke.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25" w:rsidRDefault="00176325" w:rsidP="002342F3">
      <w:pPr>
        <w:spacing w:after="0" w:line="240" w:lineRule="auto"/>
      </w:pPr>
      <w:r>
        <w:separator/>
      </w:r>
    </w:p>
  </w:endnote>
  <w:endnote w:type="continuationSeparator" w:id="0">
    <w:p w:rsidR="00176325" w:rsidRDefault="0017632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Content>
      <w:p w:rsidR="00176325" w:rsidRDefault="0017632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325" w:rsidRDefault="001763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25" w:rsidRDefault="00176325" w:rsidP="002342F3">
      <w:pPr>
        <w:spacing w:after="0" w:line="240" w:lineRule="auto"/>
      </w:pPr>
      <w:r>
        <w:separator/>
      </w:r>
    </w:p>
  </w:footnote>
  <w:footnote w:type="continuationSeparator" w:id="0">
    <w:p w:rsidR="00176325" w:rsidRDefault="0017632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6325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6F4F8A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794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6DCE"/>
  <w15:docId w15:val="{D6C95876-EC5C-46DD-9008-74D3F98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6F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a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0970-A435-40CA-A3AC-DC5C7DE1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Računovostvo</cp:lastModifiedBy>
  <cp:revision>3</cp:revision>
  <cp:lastPrinted>2016-10-11T10:47:00Z</cp:lastPrinted>
  <dcterms:created xsi:type="dcterms:W3CDTF">2019-05-16T07:11:00Z</dcterms:created>
  <dcterms:modified xsi:type="dcterms:W3CDTF">2019-05-16T07:22:00Z</dcterms:modified>
</cp:coreProperties>
</file>