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21E" w:rsidRPr="00706E04" w:rsidRDefault="00876DD6" w:rsidP="00706E04">
      <w:pPr>
        <w:spacing w:after="120"/>
        <w:jc w:val="center"/>
        <w:rPr>
          <w:rFonts w:cs="Times New Roman"/>
          <w:b/>
          <w:sz w:val="24"/>
          <w:szCs w:val="24"/>
        </w:rPr>
      </w:pPr>
      <w:r w:rsidRPr="00706E04">
        <w:rPr>
          <w:rFonts w:cs="Times New Roman"/>
          <w:b/>
          <w:sz w:val="24"/>
          <w:szCs w:val="24"/>
        </w:rPr>
        <w:t>REPUBLIKA HRVATSKA</w:t>
      </w:r>
    </w:p>
    <w:p w:rsidR="00876DD6" w:rsidRPr="00706E04" w:rsidRDefault="00876DD6" w:rsidP="00706E04">
      <w:pPr>
        <w:spacing w:after="120"/>
        <w:jc w:val="center"/>
        <w:rPr>
          <w:rFonts w:cs="Times New Roman"/>
          <w:b/>
          <w:sz w:val="24"/>
          <w:szCs w:val="24"/>
        </w:rPr>
      </w:pPr>
      <w:r w:rsidRPr="00706E04">
        <w:rPr>
          <w:rFonts w:cs="Times New Roman"/>
          <w:b/>
          <w:sz w:val="24"/>
          <w:szCs w:val="24"/>
        </w:rPr>
        <w:t>KOPRIVNIČKO-KRIŽEVAČKA ŽUPANIJA</w:t>
      </w:r>
    </w:p>
    <w:p w:rsidR="00876DD6" w:rsidRPr="00706E04" w:rsidRDefault="00876DD6" w:rsidP="00706E04">
      <w:pPr>
        <w:spacing w:after="120"/>
        <w:jc w:val="center"/>
        <w:rPr>
          <w:rFonts w:cs="Times New Roman"/>
          <w:b/>
          <w:sz w:val="24"/>
          <w:szCs w:val="24"/>
        </w:rPr>
      </w:pPr>
      <w:r w:rsidRPr="00706E04">
        <w:rPr>
          <w:rFonts w:cs="Times New Roman"/>
          <w:b/>
          <w:sz w:val="24"/>
          <w:szCs w:val="24"/>
        </w:rPr>
        <w:t xml:space="preserve">OPĆINA </w:t>
      </w:r>
      <w:r w:rsidR="00602F5E" w:rsidRPr="00706E04">
        <w:rPr>
          <w:rFonts w:cs="Times New Roman"/>
          <w:b/>
          <w:sz w:val="24"/>
          <w:szCs w:val="24"/>
        </w:rPr>
        <w:t>KALNIK</w:t>
      </w:r>
    </w:p>
    <w:p w:rsidR="00A83129" w:rsidRPr="00706E04" w:rsidRDefault="00802F9E" w:rsidP="00706E04">
      <w:pPr>
        <w:pBdr>
          <w:bottom w:val="single" w:sz="12" w:space="1" w:color="auto"/>
        </w:pBdr>
        <w:spacing w:after="120"/>
        <w:jc w:val="center"/>
        <w:rPr>
          <w:rFonts w:cs="Times New Roman"/>
          <w:b/>
          <w:sz w:val="24"/>
          <w:szCs w:val="24"/>
        </w:rPr>
      </w:pPr>
      <w:r w:rsidRPr="00706E04">
        <w:rPr>
          <w:rFonts w:cs="Times New Roman"/>
          <w:b/>
          <w:sz w:val="24"/>
          <w:szCs w:val="24"/>
        </w:rPr>
        <w:t>JEDINSTVENI UPRAVNI ODJEL</w:t>
      </w:r>
    </w:p>
    <w:p w:rsidR="00802F9E" w:rsidRPr="00706E04" w:rsidRDefault="00802F9E" w:rsidP="00706E04">
      <w:pPr>
        <w:spacing w:after="120"/>
        <w:rPr>
          <w:rFonts w:cs="Times New Roman"/>
          <w:b/>
          <w:sz w:val="24"/>
          <w:szCs w:val="24"/>
        </w:rPr>
      </w:pPr>
    </w:p>
    <w:p w:rsidR="00876DD6" w:rsidRPr="00706E04" w:rsidRDefault="00876DD6" w:rsidP="00706E04">
      <w:pPr>
        <w:spacing w:after="120"/>
        <w:rPr>
          <w:sz w:val="24"/>
          <w:szCs w:val="24"/>
        </w:rPr>
      </w:pPr>
    </w:p>
    <w:p w:rsidR="007B48B1" w:rsidRPr="00706E04" w:rsidRDefault="007B48B1" w:rsidP="00706E04">
      <w:pPr>
        <w:spacing w:after="120"/>
        <w:rPr>
          <w:sz w:val="24"/>
          <w:szCs w:val="24"/>
        </w:rPr>
      </w:pPr>
    </w:p>
    <w:p w:rsidR="007B48B1" w:rsidRPr="00706E04" w:rsidRDefault="007B48B1" w:rsidP="00706E04">
      <w:pPr>
        <w:spacing w:after="120"/>
        <w:rPr>
          <w:sz w:val="24"/>
          <w:szCs w:val="24"/>
        </w:rPr>
      </w:pPr>
    </w:p>
    <w:p w:rsidR="007B48B1" w:rsidRPr="00706E04" w:rsidRDefault="007B48B1" w:rsidP="00706E04">
      <w:pPr>
        <w:spacing w:after="120"/>
        <w:rPr>
          <w:sz w:val="24"/>
          <w:szCs w:val="24"/>
        </w:rPr>
      </w:pPr>
    </w:p>
    <w:p w:rsidR="002504DD" w:rsidRPr="00706E04" w:rsidRDefault="002504DD" w:rsidP="00706E04">
      <w:pPr>
        <w:spacing w:after="120"/>
        <w:rPr>
          <w:sz w:val="24"/>
          <w:szCs w:val="24"/>
        </w:rPr>
      </w:pPr>
    </w:p>
    <w:p w:rsidR="002504DD" w:rsidRPr="00706E04" w:rsidRDefault="002504DD" w:rsidP="00706E04">
      <w:pPr>
        <w:spacing w:after="120"/>
        <w:rPr>
          <w:sz w:val="24"/>
          <w:szCs w:val="24"/>
        </w:rPr>
      </w:pPr>
    </w:p>
    <w:p w:rsidR="002504DD" w:rsidRPr="00706E04" w:rsidRDefault="002504DD" w:rsidP="00706E04">
      <w:pPr>
        <w:spacing w:after="120"/>
        <w:rPr>
          <w:sz w:val="24"/>
          <w:szCs w:val="24"/>
        </w:rPr>
      </w:pPr>
    </w:p>
    <w:p w:rsidR="007B48B1" w:rsidRPr="00706E04" w:rsidRDefault="007B48B1" w:rsidP="00706E04">
      <w:pPr>
        <w:spacing w:after="120"/>
        <w:rPr>
          <w:sz w:val="24"/>
          <w:szCs w:val="24"/>
        </w:rPr>
      </w:pPr>
    </w:p>
    <w:p w:rsidR="007B48B1" w:rsidRPr="00706E04" w:rsidRDefault="007B48B1" w:rsidP="00706E04">
      <w:pPr>
        <w:spacing w:after="120"/>
        <w:jc w:val="center"/>
        <w:rPr>
          <w:rFonts w:cs="Times New Roman"/>
          <w:b/>
          <w:sz w:val="24"/>
          <w:szCs w:val="24"/>
        </w:rPr>
      </w:pPr>
      <w:r w:rsidRPr="00706E04">
        <w:rPr>
          <w:rFonts w:cs="Times New Roman"/>
          <w:b/>
          <w:sz w:val="24"/>
          <w:szCs w:val="24"/>
        </w:rPr>
        <w:t>UPUTE ZA IZRADU PR</w:t>
      </w:r>
      <w:r w:rsidR="008B191B" w:rsidRPr="00706E04">
        <w:rPr>
          <w:rFonts w:cs="Times New Roman"/>
          <w:b/>
          <w:sz w:val="24"/>
          <w:szCs w:val="24"/>
        </w:rPr>
        <w:t xml:space="preserve">ORAČUNA </w:t>
      </w:r>
      <w:r w:rsidR="00934FA1" w:rsidRPr="00706E04">
        <w:rPr>
          <w:rFonts w:cs="Times New Roman"/>
          <w:b/>
          <w:sz w:val="24"/>
          <w:szCs w:val="24"/>
        </w:rPr>
        <w:t xml:space="preserve"> I </w:t>
      </w:r>
      <w:r w:rsidR="002C1026" w:rsidRPr="00706E04">
        <w:rPr>
          <w:rFonts w:cs="Times New Roman"/>
          <w:b/>
          <w:sz w:val="24"/>
          <w:szCs w:val="24"/>
        </w:rPr>
        <w:t>F</w:t>
      </w:r>
      <w:r w:rsidR="00934FA1" w:rsidRPr="00706E04">
        <w:rPr>
          <w:rFonts w:cs="Times New Roman"/>
          <w:b/>
          <w:sz w:val="24"/>
          <w:szCs w:val="24"/>
        </w:rPr>
        <w:t xml:space="preserve">INANCIJSKOG PLANA </w:t>
      </w:r>
      <w:r w:rsidR="00CA3290" w:rsidRPr="00706E04">
        <w:rPr>
          <w:rFonts w:cs="Times New Roman"/>
          <w:b/>
          <w:sz w:val="24"/>
          <w:szCs w:val="24"/>
        </w:rPr>
        <w:t>PRORAČUNSKOG</w:t>
      </w:r>
      <w:r w:rsidR="008876B9">
        <w:rPr>
          <w:rFonts w:cs="Times New Roman"/>
          <w:b/>
          <w:sz w:val="24"/>
          <w:szCs w:val="24"/>
        </w:rPr>
        <w:t>A</w:t>
      </w:r>
      <w:bookmarkStart w:id="0" w:name="_GoBack"/>
      <w:bookmarkEnd w:id="0"/>
      <w:r w:rsidR="002C1026" w:rsidRPr="00706E04">
        <w:rPr>
          <w:rFonts w:cs="Times New Roman"/>
          <w:b/>
          <w:sz w:val="24"/>
          <w:szCs w:val="24"/>
        </w:rPr>
        <w:t xml:space="preserve"> KORISNIKA</w:t>
      </w:r>
      <w:r w:rsidR="003135A7" w:rsidRPr="00706E04">
        <w:rPr>
          <w:rFonts w:cs="Times New Roman"/>
          <w:b/>
          <w:sz w:val="24"/>
          <w:szCs w:val="24"/>
        </w:rPr>
        <w:t xml:space="preserve"> </w:t>
      </w:r>
      <w:r w:rsidR="0012595F" w:rsidRPr="00706E04">
        <w:rPr>
          <w:rFonts w:cs="Times New Roman"/>
          <w:b/>
          <w:sz w:val="24"/>
          <w:szCs w:val="24"/>
        </w:rPr>
        <w:t>ZA RAZDOBLJE 2022</w:t>
      </w:r>
      <w:r w:rsidRPr="00706E04">
        <w:rPr>
          <w:rFonts w:cs="Times New Roman"/>
          <w:b/>
          <w:sz w:val="24"/>
          <w:szCs w:val="24"/>
        </w:rPr>
        <w:t>.-</w:t>
      </w:r>
      <w:r w:rsidR="0012595F" w:rsidRPr="00706E04">
        <w:rPr>
          <w:rFonts w:cs="Times New Roman"/>
          <w:b/>
          <w:sz w:val="24"/>
          <w:szCs w:val="24"/>
        </w:rPr>
        <w:t>2024</w:t>
      </w:r>
      <w:r w:rsidRPr="00706E04">
        <w:rPr>
          <w:rFonts w:cs="Times New Roman"/>
          <w:b/>
          <w:sz w:val="24"/>
          <w:szCs w:val="24"/>
        </w:rPr>
        <w:t>.</w:t>
      </w:r>
    </w:p>
    <w:p w:rsidR="007D4359" w:rsidRPr="00706E04" w:rsidRDefault="007D4359" w:rsidP="00706E04">
      <w:pPr>
        <w:spacing w:after="120"/>
        <w:jc w:val="center"/>
        <w:rPr>
          <w:rFonts w:cs="Times New Roman"/>
          <w:b/>
          <w:sz w:val="24"/>
          <w:szCs w:val="24"/>
        </w:rPr>
      </w:pPr>
    </w:p>
    <w:p w:rsidR="00A942B9" w:rsidRPr="00706E04" w:rsidRDefault="00A942B9" w:rsidP="00706E04">
      <w:pPr>
        <w:spacing w:after="120"/>
        <w:jc w:val="center"/>
        <w:rPr>
          <w:rFonts w:cs="Times New Roman"/>
          <w:b/>
          <w:sz w:val="24"/>
          <w:szCs w:val="24"/>
        </w:rPr>
      </w:pPr>
    </w:p>
    <w:p w:rsidR="00A942B9" w:rsidRPr="00706E04" w:rsidRDefault="00A942B9" w:rsidP="00706E04">
      <w:pPr>
        <w:spacing w:after="120"/>
        <w:jc w:val="center"/>
        <w:rPr>
          <w:rFonts w:cs="Times New Roman"/>
          <w:b/>
          <w:sz w:val="24"/>
          <w:szCs w:val="24"/>
        </w:rPr>
      </w:pPr>
    </w:p>
    <w:p w:rsidR="00A942B9" w:rsidRPr="00706E04" w:rsidRDefault="00A942B9" w:rsidP="00706E04">
      <w:pPr>
        <w:spacing w:after="120"/>
        <w:jc w:val="center"/>
        <w:rPr>
          <w:rFonts w:cs="Times New Roman"/>
          <w:b/>
          <w:sz w:val="24"/>
          <w:szCs w:val="24"/>
        </w:rPr>
      </w:pPr>
    </w:p>
    <w:p w:rsidR="00A942B9" w:rsidRPr="00706E04" w:rsidRDefault="00A942B9" w:rsidP="00706E04">
      <w:pPr>
        <w:spacing w:after="120"/>
        <w:jc w:val="center"/>
        <w:rPr>
          <w:rFonts w:cs="Times New Roman"/>
          <w:b/>
          <w:sz w:val="24"/>
          <w:szCs w:val="24"/>
        </w:rPr>
      </w:pPr>
    </w:p>
    <w:p w:rsidR="00A942B9" w:rsidRPr="00706E04" w:rsidRDefault="00A942B9" w:rsidP="00706E04">
      <w:pPr>
        <w:spacing w:after="120"/>
        <w:jc w:val="center"/>
        <w:rPr>
          <w:rFonts w:cs="Times New Roman"/>
          <w:b/>
          <w:sz w:val="24"/>
          <w:szCs w:val="24"/>
        </w:rPr>
      </w:pPr>
    </w:p>
    <w:p w:rsidR="00802F9E" w:rsidRPr="00706E04" w:rsidRDefault="00802F9E" w:rsidP="00706E04">
      <w:pPr>
        <w:spacing w:after="120"/>
        <w:jc w:val="center"/>
        <w:rPr>
          <w:rFonts w:cs="Times New Roman"/>
          <w:b/>
          <w:sz w:val="24"/>
          <w:szCs w:val="24"/>
        </w:rPr>
      </w:pPr>
    </w:p>
    <w:p w:rsidR="00802F9E" w:rsidRPr="00706E04" w:rsidRDefault="00802F9E" w:rsidP="00706E04">
      <w:pPr>
        <w:spacing w:after="120"/>
        <w:jc w:val="center"/>
        <w:rPr>
          <w:rFonts w:cs="Times New Roman"/>
          <w:b/>
          <w:sz w:val="24"/>
          <w:szCs w:val="24"/>
        </w:rPr>
      </w:pPr>
    </w:p>
    <w:p w:rsidR="00802F9E" w:rsidRPr="00706E04" w:rsidRDefault="00802F9E" w:rsidP="00706E04">
      <w:pPr>
        <w:spacing w:after="120"/>
        <w:jc w:val="center"/>
        <w:rPr>
          <w:rFonts w:cs="Times New Roman"/>
          <w:b/>
          <w:sz w:val="24"/>
          <w:szCs w:val="24"/>
        </w:rPr>
      </w:pPr>
    </w:p>
    <w:p w:rsidR="00A942B9" w:rsidRDefault="00A942B9" w:rsidP="00706E04">
      <w:pPr>
        <w:spacing w:after="120"/>
        <w:jc w:val="center"/>
        <w:rPr>
          <w:rFonts w:cs="Times New Roman"/>
          <w:b/>
          <w:sz w:val="24"/>
          <w:szCs w:val="24"/>
        </w:rPr>
      </w:pPr>
    </w:p>
    <w:p w:rsidR="00706E04" w:rsidRDefault="00706E04" w:rsidP="00706E04">
      <w:pPr>
        <w:spacing w:after="120"/>
        <w:jc w:val="center"/>
        <w:rPr>
          <w:rFonts w:cs="Times New Roman"/>
          <w:b/>
          <w:sz w:val="24"/>
          <w:szCs w:val="24"/>
        </w:rPr>
      </w:pPr>
    </w:p>
    <w:p w:rsidR="00706E04" w:rsidRPr="00706E04" w:rsidRDefault="00706E04" w:rsidP="00706E04">
      <w:pPr>
        <w:spacing w:after="120"/>
        <w:jc w:val="center"/>
        <w:rPr>
          <w:rFonts w:cs="Times New Roman"/>
          <w:b/>
          <w:sz w:val="24"/>
          <w:szCs w:val="24"/>
        </w:rPr>
      </w:pPr>
    </w:p>
    <w:p w:rsidR="00A942B9" w:rsidRPr="00706E04" w:rsidRDefault="00802F9E" w:rsidP="00706E04">
      <w:pPr>
        <w:spacing w:after="120"/>
        <w:jc w:val="center"/>
        <w:rPr>
          <w:rFonts w:cs="Times New Roman"/>
          <w:b/>
          <w:sz w:val="24"/>
          <w:szCs w:val="24"/>
        </w:rPr>
      </w:pPr>
      <w:r w:rsidRPr="00706E04">
        <w:rPr>
          <w:rFonts w:cs="Times New Roman"/>
          <w:b/>
          <w:sz w:val="24"/>
          <w:szCs w:val="24"/>
        </w:rPr>
        <w:t>Kalnik, rujan 2021.</w:t>
      </w:r>
    </w:p>
    <w:p w:rsidR="00A942B9" w:rsidRPr="00706E04" w:rsidRDefault="00A942B9" w:rsidP="00706E04">
      <w:pPr>
        <w:pBdr>
          <w:bottom w:val="single" w:sz="12" w:space="1" w:color="auto"/>
        </w:pBdr>
        <w:spacing w:after="120"/>
        <w:jc w:val="center"/>
        <w:rPr>
          <w:rFonts w:cs="Times New Roman"/>
          <w:b/>
          <w:sz w:val="24"/>
          <w:szCs w:val="24"/>
        </w:rPr>
      </w:pPr>
    </w:p>
    <w:p w:rsidR="007C28A5" w:rsidRPr="00706E04" w:rsidRDefault="007C28A5" w:rsidP="00706E04">
      <w:pPr>
        <w:spacing w:after="120"/>
        <w:jc w:val="center"/>
        <w:rPr>
          <w:rFonts w:cs="Times New Roman"/>
          <w:b/>
          <w:sz w:val="24"/>
          <w:szCs w:val="24"/>
        </w:rPr>
      </w:pPr>
    </w:p>
    <w:p w:rsidR="007C28A5" w:rsidRPr="00706E04" w:rsidRDefault="007C28A5" w:rsidP="00706E04">
      <w:pPr>
        <w:spacing w:after="120"/>
        <w:jc w:val="center"/>
        <w:rPr>
          <w:rFonts w:cs="Times New Roman"/>
          <w:b/>
          <w:sz w:val="24"/>
          <w:szCs w:val="24"/>
        </w:rPr>
      </w:pPr>
    </w:p>
    <w:p w:rsidR="007C28A5" w:rsidRPr="00706E04" w:rsidRDefault="007C28A5" w:rsidP="00706E04">
      <w:pPr>
        <w:pStyle w:val="Odlomakpopisa"/>
        <w:spacing w:after="120"/>
        <w:ind w:left="0"/>
        <w:rPr>
          <w:rFonts w:cs="Times New Roman"/>
          <w:b/>
          <w:sz w:val="24"/>
          <w:szCs w:val="24"/>
        </w:rPr>
      </w:pPr>
      <w:r w:rsidRPr="00706E04">
        <w:rPr>
          <w:rFonts w:cs="Times New Roman"/>
          <w:b/>
          <w:sz w:val="24"/>
          <w:szCs w:val="24"/>
        </w:rPr>
        <w:lastRenderedPageBreak/>
        <w:t>UVOD</w:t>
      </w:r>
    </w:p>
    <w:p w:rsidR="00802F9E" w:rsidRPr="00706E04" w:rsidRDefault="00802F9E" w:rsidP="00706E04">
      <w:pPr>
        <w:spacing w:after="120"/>
        <w:jc w:val="both"/>
        <w:rPr>
          <w:rFonts w:cs="Times New Roman"/>
        </w:rPr>
      </w:pPr>
      <w:r w:rsidRPr="00706E04">
        <w:rPr>
          <w:rFonts w:cs="Times New Roman"/>
        </w:rPr>
        <w:t xml:space="preserve">Sukladno članku 27. stavak 2. Zakona o proračunu (Narodne novine, br. 87/08.,136/12. i 15/15.), Vlada Republike Hrvatske usvojila je smjernice ekonomske i fiskalne politike za trogodišnje razdoblje. Temeljem usvojenih smjernica Ministarstvo financija izradilo je upute za izradu prijedloga državnog proračuna, te sastavilo i upute za izradu proračuna jedinica lokalne i područne (regionalne) samouprave  za razdoblje 2022.-2024. (dalje: Upute). </w:t>
      </w:r>
    </w:p>
    <w:p w:rsidR="00802F9E" w:rsidRPr="00706E04" w:rsidRDefault="00802F9E" w:rsidP="00706E04">
      <w:pPr>
        <w:spacing w:after="120"/>
        <w:jc w:val="both"/>
        <w:rPr>
          <w:rFonts w:cs="Times New Roman"/>
        </w:rPr>
      </w:pPr>
      <w:r w:rsidRPr="00706E04">
        <w:rPr>
          <w:rFonts w:cs="Times New Roman"/>
        </w:rPr>
        <w:t>Metodologija za izradu prijedloga financijskog plana odnosno proračuna jedinice lokalne samouprave propisana je Zakonom o proračunu i podzakonskim aktima kojima se regulira provedba Zakona, ponajprije Pravilnikom o proračunskim klasifikacijama (Narodne novine, br. 26/10</w:t>
      </w:r>
      <w:r w:rsidR="007815C8" w:rsidRPr="00706E04">
        <w:rPr>
          <w:rFonts w:cs="Times New Roman"/>
        </w:rPr>
        <w:t xml:space="preserve">, </w:t>
      </w:r>
      <w:r w:rsidRPr="00706E04">
        <w:rPr>
          <w:rFonts w:cs="Times New Roman"/>
        </w:rPr>
        <w:t>120/13.</w:t>
      </w:r>
      <w:r w:rsidR="007815C8" w:rsidRPr="00706E04">
        <w:rPr>
          <w:rFonts w:cs="Times New Roman"/>
        </w:rPr>
        <w:t xml:space="preserve"> i 1/20</w:t>
      </w:r>
      <w:r w:rsidRPr="00706E04">
        <w:rPr>
          <w:rFonts w:cs="Times New Roman"/>
        </w:rPr>
        <w:t>) i Pravilnikom o proračunskom računovodstvu i Računskom planu (Narodne novine, br. 124/14, 115/15, 87/16</w:t>
      </w:r>
      <w:r w:rsidR="007815C8" w:rsidRPr="00706E04">
        <w:rPr>
          <w:rFonts w:cs="Times New Roman"/>
        </w:rPr>
        <w:t xml:space="preserve">, </w:t>
      </w:r>
      <w:r w:rsidRPr="00706E04">
        <w:rPr>
          <w:rFonts w:cs="Times New Roman"/>
        </w:rPr>
        <w:t>3/18</w:t>
      </w:r>
      <w:r w:rsidR="007815C8" w:rsidRPr="00706E04">
        <w:rPr>
          <w:rFonts w:cs="Times New Roman"/>
        </w:rPr>
        <w:t>, 126/19. i 108/20</w:t>
      </w:r>
      <w:r w:rsidRPr="00706E04">
        <w:rPr>
          <w:rFonts w:cs="Times New Roman"/>
        </w:rPr>
        <w:t xml:space="preserve">). </w:t>
      </w:r>
    </w:p>
    <w:p w:rsidR="00802F9E" w:rsidRPr="00706E04" w:rsidRDefault="00802F9E" w:rsidP="00706E04">
      <w:pPr>
        <w:spacing w:after="120"/>
        <w:jc w:val="both"/>
        <w:rPr>
          <w:rFonts w:cs="Times New Roman"/>
        </w:rPr>
      </w:pPr>
      <w:r w:rsidRPr="00706E04">
        <w:rPr>
          <w:rFonts w:cs="Times New Roman"/>
        </w:rPr>
        <w:t xml:space="preserve">Važnost procesa planiranja prepoznata je i u kontekstu davanja Izjave o fiskalnoj odgovornosti temeljem Zakona o fiskalnoj odgovornosti  i Uredbi o sastavljanju i predaji izjave o fiskalnoj odgovornosti i izvještaja o primjerni fiskalnih pravila. </w:t>
      </w:r>
    </w:p>
    <w:p w:rsidR="00802F9E" w:rsidRPr="00706E04" w:rsidRDefault="00802F9E" w:rsidP="00706E04">
      <w:pPr>
        <w:spacing w:after="120"/>
        <w:jc w:val="both"/>
        <w:rPr>
          <w:rFonts w:cs="Times New Roman"/>
        </w:rPr>
      </w:pPr>
      <w:r w:rsidRPr="00706E04">
        <w:rPr>
          <w:rFonts w:cs="Times New Roman"/>
        </w:rPr>
        <w:t xml:space="preserve">Čelnik jedinice lokalne i područne (regionalne) samouprave odnosno proračunskog i izvanproračunskog korisnika odgovoran je za zakonito i pravilno planiranje i izvršavanje proračuna odnosno financijskog plana i za svrhovitost, učinkovitost i za ekonomično raspolaganje proračunskim sredstvima proračuna odnosno financijskog plana. </w:t>
      </w:r>
    </w:p>
    <w:p w:rsidR="00802F9E" w:rsidRPr="00706E04" w:rsidRDefault="00802F9E" w:rsidP="00706E04">
      <w:pPr>
        <w:spacing w:after="120"/>
        <w:jc w:val="both"/>
        <w:rPr>
          <w:rFonts w:cs="Times New Roman"/>
        </w:rPr>
      </w:pPr>
      <w:r w:rsidRPr="00706E04">
        <w:rPr>
          <w:rFonts w:cs="Times New Roman"/>
        </w:rPr>
        <w:t xml:space="preserve">Temeljem Uputa Ministarstva financija, Jedinstveni upravni odjel Općine </w:t>
      </w:r>
      <w:r w:rsidR="007815C8" w:rsidRPr="00706E04">
        <w:rPr>
          <w:rFonts w:cs="Times New Roman"/>
        </w:rPr>
        <w:t>Kalnik</w:t>
      </w:r>
      <w:r w:rsidRPr="00706E04">
        <w:rPr>
          <w:rFonts w:cs="Times New Roman"/>
        </w:rPr>
        <w:t xml:space="preserve"> izradio je ove Upute za izradu financijskog plana proračunskog korisnika Općine </w:t>
      </w:r>
      <w:r w:rsidR="007815C8" w:rsidRPr="00706E04">
        <w:rPr>
          <w:rFonts w:cs="Times New Roman"/>
        </w:rPr>
        <w:t>Kalnik</w:t>
      </w:r>
      <w:r w:rsidRPr="00706E04">
        <w:rPr>
          <w:rFonts w:cs="Times New Roman"/>
        </w:rPr>
        <w:t xml:space="preserve"> za razdoblje 202</w:t>
      </w:r>
      <w:r w:rsidR="007815C8" w:rsidRPr="00706E04">
        <w:rPr>
          <w:rFonts w:cs="Times New Roman"/>
        </w:rPr>
        <w:t>2</w:t>
      </w:r>
      <w:r w:rsidRPr="00706E04">
        <w:rPr>
          <w:rFonts w:cs="Times New Roman"/>
        </w:rPr>
        <w:t>.-202</w:t>
      </w:r>
      <w:r w:rsidR="007815C8" w:rsidRPr="00706E04">
        <w:rPr>
          <w:rFonts w:cs="Times New Roman"/>
        </w:rPr>
        <w:t>4</w:t>
      </w:r>
      <w:r w:rsidRPr="00706E04">
        <w:rPr>
          <w:rFonts w:cs="Times New Roman"/>
        </w:rPr>
        <w:t xml:space="preserve">. godine. </w:t>
      </w:r>
    </w:p>
    <w:p w:rsidR="00802F9E" w:rsidRPr="00706E04" w:rsidRDefault="00802F9E" w:rsidP="00706E04">
      <w:pPr>
        <w:spacing w:after="120"/>
        <w:jc w:val="both"/>
        <w:rPr>
          <w:rFonts w:cs="Times New Roman"/>
        </w:rPr>
      </w:pPr>
      <w:r w:rsidRPr="00706E04">
        <w:rPr>
          <w:rFonts w:cs="Times New Roman"/>
        </w:rPr>
        <w:t xml:space="preserve">Ove upute sadrže: </w:t>
      </w:r>
    </w:p>
    <w:p w:rsidR="00802F9E" w:rsidRPr="00706E04" w:rsidRDefault="00802F9E" w:rsidP="00706E04">
      <w:pPr>
        <w:pStyle w:val="Odlomakpopisa"/>
        <w:numPr>
          <w:ilvl w:val="0"/>
          <w:numId w:val="8"/>
        </w:numPr>
        <w:spacing w:after="120"/>
        <w:ind w:left="284"/>
        <w:jc w:val="both"/>
        <w:rPr>
          <w:rFonts w:cs="Times New Roman"/>
        </w:rPr>
      </w:pPr>
      <w:r w:rsidRPr="00706E04">
        <w:rPr>
          <w:rFonts w:cs="Times New Roman"/>
        </w:rPr>
        <w:t xml:space="preserve">Temeljna ekonomska ishodišta i pretpostavke za izradu Prijedloga proračuna Općine </w:t>
      </w:r>
      <w:r w:rsidR="007815C8" w:rsidRPr="00706E04">
        <w:rPr>
          <w:rFonts w:cs="Times New Roman"/>
        </w:rPr>
        <w:t>Kalnik</w:t>
      </w:r>
      <w:r w:rsidRPr="00706E04">
        <w:rPr>
          <w:rFonts w:cs="Times New Roman"/>
        </w:rPr>
        <w:t xml:space="preserve"> i prijedloga financijskog plana proračunskog korisnika</w:t>
      </w:r>
    </w:p>
    <w:p w:rsidR="00802F9E" w:rsidRPr="00706E04" w:rsidRDefault="00802F9E" w:rsidP="00706E04">
      <w:pPr>
        <w:pStyle w:val="Odlomakpopisa"/>
        <w:numPr>
          <w:ilvl w:val="0"/>
          <w:numId w:val="8"/>
        </w:numPr>
        <w:spacing w:after="120"/>
        <w:ind w:left="284"/>
        <w:jc w:val="both"/>
        <w:rPr>
          <w:rFonts w:cs="Times New Roman"/>
        </w:rPr>
      </w:pPr>
      <w:r w:rsidRPr="00706E04">
        <w:rPr>
          <w:rFonts w:cs="Times New Roman"/>
        </w:rPr>
        <w:t xml:space="preserve">Opis planiranih politika Općine </w:t>
      </w:r>
      <w:r w:rsidR="007815C8" w:rsidRPr="00706E04">
        <w:rPr>
          <w:rFonts w:cs="Times New Roman"/>
        </w:rPr>
        <w:t>Kalnik</w:t>
      </w:r>
    </w:p>
    <w:p w:rsidR="00802F9E" w:rsidRPr="00706E04" w:rsidRDefault="00802F9E" w:rsidP="00706E04">
      <w:pPr>
        <w:pStyle w:val="Odlomakpopisa"/>
        <w:numPr>
          <w:ilvl w:val="0"/>
          <w:numId w:val="8"/>
        </w:numPr>
        <w:spacing w:after="120"/>
        <w:ind w:left="284"/>
        <w:jc w:val="both"/>
        <w:rPr>
          <w:rFonts w:cs="Times New Roman"/>
        </w:rPr>
      </w:pPr>
      <w:r w:rsidRPr="00706E04">
        <w:rPr>
          <w:rFonts w:cs="Times New Roman"/>
        </w:rPr>
        <w:t xml:space="preserve">Procjenu prihoda i rashoda, te primitaka i izdataka proračuna Općine </w:t>
      </w:r>
      <w:r w:rsidR="007815C8" w:rsidRPr="00706E04">
        <w:rPr>
          <w:rFonts w:cs="Times New Roman"/>
        </w:rPr>
        <w:t>Kalnik</w:t>
      </w:r>
      <w:r w:rsidRPr="00706E04">
        <w:rPr>
          <w:rFonts w:cs="Times New Roman"/>
        </w:rPr>
        <w:t xml:space="preserve"> u sljedeće tri godine </w:t>
      </w:r>
    </w:p>
    <w:p w:rsidR="00802F9E" w:rsidRPr="00706E04" w:rsidRDefault="00802F9E" w:rsidP="00706E04">
      <w:pPr>
        <w:pStyle w:val="Odlomakpopisa"/>
        <w:numPr>
          <w:ilvl w:val="0"/>
          <w:numId w:val="8"/>
        </w:numPr>
        <w:spacing w:after="120"/>
        <w:ind w:left="284"/>
        <w:jc w:val="both"/>
        <w:rPr>
          <w:rFonts w:cs="Times New Roman"/>
        </w:rPr>
      </w:pPr>
      <w:r w:rsidRPr="00706E04">
        <w:rPr>
          <w:rFonts w:cs="Times New Roman"/>
        </w:rPr>
        <w:t>Visinu financijskog plana proračunskog korisnika, koji sadrži visinu financijskog plana za prethodnu proračunsku godinu i tekuću proračunsku godinu te prijedlog visine financijskog plana za slijedeću proračunsku godinu i za slijedeće dvije godine raspoređen na:</w:t>
      </w:r>
    </w:p>
    <w:p w:rsidR="00802F9E" w:rsidRPr="00706E04" w:rsidRDefault="00802F9E" w:rsidP="00706E04">
      <w:pPr>
        <w:pStyle w:val="Odlomakpopisa"/>
        <w:numPr>
          <w:ilvl w:val="0"/>
          <w:numId w:val="10"/>
        </w:numPr>
        <w:spacing w:after="120"/>
        <w:ind w:left="709"/>
        <w:jc w:val="both"/>
        <w:rPr>
          <w:rFonts w:cs="Times New Roman"/>
        </w:rPr>
      </w:pPr>
      <w:r w:rsidRPr="00706E04">
        <w:rPr>
          <w:rFonts w:cs="Times New Roman"/>
        </w:rPr>
        <w:t xml:space="preserve">visinu sredstava potrebnih za provedbu postojećih programa, odnosno aktivnosti, koje proizlaze iz trenutno važećih propisa i </w:t>
      </w:r>
    </w:p>
    <w:p w:rsidR="00802F9E" w:rsidRPr="00706E04" w:rsidRDefault="00802F9E" w:rsidP="00706E04">
      <w:pPr>
        <w:pStyle w:val="Odlomakpopisa"/>
        <w:numPr>
          <w:ilvl w:val="0"/>
          <w:numId w:val="10"/>
        </w:numPr>
        <w:spacing w:after="120"/>
        <w:ind w:left="709"/>
        <w:jc w:val="both"/>
        <w:rPr>
          <w:rFonts w:cs="Times New Roman"/>
        </w:rPr>
      </w:pPr>
      <w:r w:rsidRPr="00706E04">
        <w:rPr>
          <w:rFonts w:cs="Times New Roman"/>
        </w:rPr>
        <w:t xml:space="preserve">visinu sredstava potrebnih za uvođenje i provedbu novih ili promjenu postojećih programa, odnosno aktivnosti </w:t>
      </w:r>
    </w:p>
    <w:p w:rsidR="00802F9E" w:rsidRPr="00706E04" w:rsidRDefault="00802F9E" w:rsidP="00706E04">
      <w:pPr>
        <w:pStyle w:val="Odlomakpopisa"/>
        <w:numPr>
          <w:ilvl w:val="0"/>
          <w:numId w:val="8"/>
        </w:numPr>
        <w:spacing w:after="120"/>
        <w:ind w:left="284"/>
        <w:jc w:val="both"/>
        <w:rPr>
          <w:rFonts w:cs="Times New Roman"/>
        </w:rPr>
      </w:pPr>
      <w:r w:rsidRPr="00706E04">
        <w:rPr>
          <w:rFonts w:cs="Times New Roman"/>
        </w:rPr>
        <w:t xml:space="preserve">Metodologija izrade prijedloga financijskog plana proračunskog korisnika </w:t>
      </w:r>
    </w:p>
    <w:p w:rsidR="00802F9E" w:rsidRPr="00706E04" w:rsidRDefault="00802F9E" w:rsidP="00706E04">
      <w:pPr>
        <w:pStyle w:val="Odlomakpopisa"/>
        <w:numPr>
          <w:ilvl w:val="0"/>
          <w:numId w:val="8"/>
        </w:numPr>
        <w:spacing w:after="120"/>
        <w:ind w:left="284"/>
        <w:jc w:val="both"/>
        <w:rPr>
          <w:rFonts w:cs="Times New Roman"/>
        </w:rPr>
      </w:pPr>
      <w:r w:rsidRPr="00706E04">
        <w:rPr>
          <w:rFonts w:cs="Times New Roman"/>
        </w:rPr>
        <w:t>Planiranje viškova/manjkova iz prethodnih godina</w:t>
      </w:r>
    </w:p>
    <w:p w:rsidR="00802F9E" w:rsidRPr="00706E04" w:rsidRDefault="00802F9E" w:rsidP="00706E04">
      <w:pPr>
        <w:pStyle w:val="Odlomakpopisa"/>
        <w:numPr>
          <w:ilvl w:val="0"/>
          <w:numId w:val="8"/>
        </w:numPr>
        <w:spacing w:after="120"/>
        <w:ind w:left="284"/>
        <w:jc w:val="both"/>
        <w:rPr>
          <w:rFonts w:cs="Times New Roman"/>
        </w:rPr>
      </w:pPr>
      <w:r w:rsidRPr="00706E04">
        <w:rPr>
          <w:rFonts w:cs="Times New Roman"/>
        </w:rPr>
        <w:t xml:space="preserve">Terminski plan za izradu proračuna i prijedloga financijskog plana proračunskog korisnika </w:t>
      </w:r>
    </w:p>
    <w:p w:rsidR="00802F9E" w:rsidRPr="00706E04" w:rsidRDefault="00802F9E" w:rsidP="00706E04">
      <w:pPr>
        <w:pStyle w:val="Odlomakpopisa"/>
        <w:numPr>
          <w:ilvl w:val="0"/>
          <w:numId w:val="8"/>
        </w:numPr>
        <w:spacing w:after="120"/>
        <w:ind w:left="284"/>
        <w:jc w:val="both"/>
        <w:rPr>
          <w:rFonts w:cs="Times New Roman"/>
        </w:rPr>
      </w:pPr>
      <w:r w:rsidRPr="00706E04">
        <w:rPr>
          <w:rFonts w:cs="Times New Roman"/>
        </w:rPr>
        <w:t>Primjena načela transparentnosti i dostupnost materijala</w:t>
      </w:r>
    </w:p>
    <w:p w:rsidR="00706E04" w:rsidRPr="00706E04" w:rsidRDefault="00706E04" w:rsidP="00706E04">
      <w:pPr>
        <w:pStyle w:val="Odlomakpopisa"/>
        <w:spacing w:after="120"/>
        <w:ind w:left="0"/>
        <w:jc w:val="both"/>
        <w:rPr>
          <w:rFonts w:cs="Times New Roman"/>
          <w:sz w:val="24"/>
          <w:szCs w:val="24"/>
        </w:rPr>
      </w:pPr>
    </w:p>
    <w:p w:rsidR="00805BD5" w:rsidRPr="00805BD5" w:rsidRDefault="00805BD5" w:rsidP="00706E04">
      <w:pPr>
        <w:numPr>
          <w:ilvl w:val="0"/>
          <w:numId w:val="4"/>
        </w:numPr>
        <w:spacing w:after="120"/>
        <w:ind w:left="426"/>
        <w:contextualSpacing/>
        <w:rPr>
          <w:rFonts w:eastAsia="Calibri" w:cs="Times New Roman"/>
          <w:b/>
        </w:rPr>
      </w:pPr>
      <w:r w:rsidRPr="00805BD5">
        <w:rPr>
          <w:rFonts w:eastAsia="Calibri" w:cs="Times New Roman"/>
          <w:b/>
        </w:rPr>
        <w:t xml:space="preserve">TEMELJNA EKONOMSKA ISHODIŠTA I PRETPOSTAVKE ZA IZRADU PRIJEDLOGA PRORAČUNA OPĆINE </w:t>
      </w:r>
      <w:r w:rsidRPr="00706E04">
        <w:rPr>
          <w:rFonts w:eastAsia="Calibri" w:cs="Times New Roman"/>
          <w:b/>
        </w:rPr>
        <w:t>KALNIK</w:t>
      </w:r>
      <w:r w:rsidRPr="00805BD5">
        <w:rPr>
          <w:rFonts w:eastAsia="Calibri" w:cs="Times New Roman"/>
          <w:b/>
        </w:rPr>
        <w:t xml:space="preserve"> I PRIJEDLOGA FINANCIJSKOG PLANA PRORAČUNSKOG KORISNIKA</w:t>
      </w:r>
    </w:p>
    <w:p w:rsidR="00706E04" w:rsidRDefault="00706E04" w:rsidP="00706E04">
      <w:pPr>
        <w:spacing w:after="120"/>
        <w:jc w:val="both"/>
        <w:rPr>
          <w:rFonts w:cs="Times New Roman"/>
        </w:rPr>
      </w:pPr>
    </w:p>
    <w:p w:rsidR="00A41E1A" w:rsidRPr="00706E04" w:rsidRDefault="00A41E1A" w:rsidP="00706E04">
      <w:pPr>
        <w:spacing w:after="120"/>
        <w:jc w:val="both"/>
        <w:rPr>
          <w:rFonts w:cs="Times New Roman"/>
        </w:rPr>
      </w:pPr>
      <w:r w:rsidRPr="00706E04">
        <w:rPr>
          <w:rFonts w:cs="Times New Roman"/>
        </w:rPr>
        <w:t>Sukladno Zakonu o proračunu, Vlada Republike Hrvatske donijela je Smjernice ekonomske i fis</w:t>
      </w:r>
      <w:r w:rsidR="008F1B0B" w:rsidRPr="00706E04">
        <w:rPr>
          <w:rFonts w:cs="Times New Roman"/>
        </w:rPr>
        <w:t>kalne politike</w:t>
      </w:r>
      <w:r w:rsidR="00571A38" w:rsidRPr="00706E04">
        <w:rPr>
          <w:rFonts w:cs="Times New Roman"/>
        </w:rPr>
        <w:t xml:space="preserve"> za izradu državnog proračuna</w:t>
      </w:r>
      <w:r w:rsidR="008F1B0B" w:rsidRPr="00706E04">
        <w:rPr>
          <w:rFonts w:cs="Times New Roman"/>
        </w:rPr>
        <w:t xml:space="preserve"> za razdoblje 2022.-2024</w:t>
      </w:r>
      <w:r w:rsidRPr="00706E04">
        <w:rPr>
          <w:rFonts w:cs="Times New Roman"/>
        </w:rPr>
        <w:t xml:space="preserve">. </w:t>
      </w:r>
    </w:p>
    <w:p w:rsidR="00A41E1A" w:rsidRPr="00706E04" w:rsidRDefault="00A41E1A" w:rsidP="00706E04">
      <w:pPr>
        <w:spacing w:after="120"/>
        <w:jc w:val="both"/>
        <w:rPr>
          <w:rFonts w:cs="Times New Roman"/>
        </w:rPr>
      </w:pPr>
      <w:r w:rsidRPr="00706E04">
        <w:rPr>
          <w:rFonts w:cs="Times New Roman"/>
        </w:rPr>
        <w:lastRenderedPageBreak/>
        <w:t xml:space="preserve">Najavljene promjene u poreznom sustavu, a koje će utjecati na državni proračun i proračune jedinica lokalne i područne (regionalne) samouprave u narednom trogodišnjem razdoblju najavljene su u navedenim </w:t>
      </w:r>
      <w:r w:rsidR="00901038" w:rsidRPr="00706E04">
        <w:rPr>
          <w:rFonts w:cs="Times New Roman"/>
        </w:rPr>
        <w:t>s</w:t>
      </w:r>
      <w:r w:rsidRPr="00706E04">
        <w:rPr>
          <w:rFonts w:cs="Times New Roman"/>
        </w:rPr>
        <w:t xml:space="preserve">mjernicama. Smjernice sadrže ciljeve ekonomske politike te makroekonomski i fiskalni okvir opće države za trogodišnje razdoblje. </w:t>
      </w:r>
    </w:p>
    <w:p w:rsidR="000A2BBE" w:rsidRPr="00706E04" w:rsidRDefault="000A2BBE" w:rsidP="00706E04">
      <w:pPr>
        <w:spacing w:after="120"/>
        <w:jc w:val="both"/>
        <w:rPr>
          <w:rFonts w:cs="Times New Roman"/>
        </w:rPr>
      </w:pPr>
      <w:r w:rsidRPr="00706E04">
        <w:rPr>
          <w:rFonts w:cs="Times New Roman"/>
        </w:rPr>
        <w:t>U srednjoročnom razdoblju očekuje se snažan oporavak gospodarske aktivnosti na koji će utjecati i pozitivni učinci Nacionalnog plana oporavka i otpornosti 2021. - 2026. (dalje u tekstu: NPOO). U 2022. očekuje se realni rast BDP-a od 6,6%, kojega će pratiti rast od 4,1% u 2023. te 3,4% u 2024. godini. Gospodarski rast će se prvenstveno temeljiti na doprinosu domaće potražnje, dok će doprinos inozemne potražnje biti negativan i relativno stabilan u cijelom projekcijskom razdoblju. Također, osobna potrošnja će dati svoj snažni doprinos gospodarskom rastu.</w:t>
      </w:r>
    </w:p>
    <w:p w:rsidR="00A41E1A" w:rsidRDefault="00162AEC" w:rsidP="00706E04">
      <w:pPr>
        <w:spacing w:after="120"/>
        <w:jc w:val="both"/>
        <w:rPr>
          <w:rFonts w:cs="Times New Roman"/>
        </w:rPr>
      </w:pPr>
      <w:r w:rsidRPr="00706E04">
        <w:rPr>
          <w:rFonts w:cs="Times New Roman"/>
        </w:rPr>
        <w:t>Pandemija</w:t>
      </w:r>
      <w:r w:rsidR="00FD4C59" w:rsidRPr="00706E04">
        <w:rPr>
          <w:rFonts w:cs="Times New Roman"/>
        </w:rPr>
        <w:t xml:space="preserve"> korona</w:t>
      </w:r>
      <w:r w:rsidR="004666CF" w:rsidRPr="00706E04">
        <w:rPr>
          <w:rFonts w:cs="Times New Roman"/>
        </w:rPr>
        <w:t xml:space="preserve"> </w:t>
      </w:r>
      <w:r w:rsidR="00461C39" w:rsidRPr="00706E04">
        <w:rPr>
          <w:rFonts w:cs="Times New Roman"/>
        </w:rPr>
        <w:t>virusa tijekom 2020. i dijelom 2021</w:t>
      </w:r>
      <w:r w:rsidR="00FD4C59" w:rsidRPr="00706E04">
        <w:rPr>
          <w:rFonts w:cs="Times New Roman"/>
        </w:rPr>
        <w:t>. godine dovela je do značajnih negativnih socijalno</w:t>
      </w:r>
      <w:r w:rsidR="00C32678" w:rsidRPr="00706E04">
        <w:rPr>
          <w:rFonts w:cs="Times New Roman"/>
        </w:rPr>
        <w:t xml:space="preserve"> </w:t>
      </w:r>
      <w:r w:rsidR="00FD4C59" w:rsidRPr="00706E04">
        <w:rPr>
          <w:rFonts w:cs="Times New Roman"/>
        </w:rPr>
        <w:t xml:space="preserve">gospodarskih posljedica. </w:t>
      </w:r>
      <w:r w:rsidR="00131EC9" w:rsidRPr="00706E04">
        <w:rPr>
          <w:rFonts w:cs="Times New Roman"/>
        </w:rPr>
        <w:t xml:space="preserve">Stoga </w:t>
      </w:r>
      <w:r w:rsidR="00461C39" w:rsidRPr="00706E04">
        <w:rPr>
          <w:rFonts w:cs="Times New Roman"/>
        </w:rPr>
        <w:t>se u 2022</w:t>
      </w:r>
      <w:r w:rsidR="00A238CC" w:rsidRPr="00706E04">
        <w:rPr>
          <w:rFonts w:cs="Times New Roman"/>
        </w:rPr>
        <w:t xml:space="preserve">. godini očekuje </w:t>
      </w:r>
      <w:r w:rsidR="00131EC9" w:rsidRPr="00706E04">
        <w:rPr>
          <w:rFonts w:cs="Times New Roman"/>
        </w:rPr>
        <w:t xml:space="preserve"> gospodarski oporavak koji će se odraziti i na prihodnu stranu proračuna. Naime, nakon pada BDP-a u 2020. godini od 8,0%, u srednjoročnom razdoblju u domaćem g</w:t>
      </w:r>
      <w:r w:rsidR="00C93986" w:rsidRPr="00706E04">
        <w:rPr>
          <w:rFonts w:cs="Times New Roman"/>
        </w:rPr>
        <w:t xml:space="preserve">ospodarstvu predviđa se snažan oporavak gospodarske </w:t>
      </w:r>
      <w:r w:rsidR="00131EC9" w:rsidRPr="00706E04">
        <w:rPr>
          <w:rFonts w:cs="Times New Roman"/>
        </w:rPr>
        <w:t xml:space="preserve"> aktivnosti.</w:t>
      </w:r>
    </w:p>
    <w:p w:rsidR="00706E04" w:rsidRPr="00706E04" w:rsidRDefault="00706E04" w:rsidP="00706E04">
      <w:pPr>
        <w:spacing w:after="120"/>
        <w:jc w:val="both"/>
        <w:rPr>
          <w:rFonts w:cs="Times New Roman"/>
        </w:rPr>
      </w:pPr>
    </w:p>
    <w:p w:rsidR="00981BDB" w:rsidRPr="00706E04" w:rsidRDefault="003C1942" w:rsidP="00706E04">
      <w:pPr>
        <w:spacing w:after="120"/>
        <w:ind w:left="360"/>
        <w:rPr>
          <w:rFonts w:cs="Times New Roman"/>
          <w:b/>
          <w:sz w:val="24"/>
          <w:szCs w:val="24"/>
        </w:rPr>
      </w:pPr>
      <w:r w:rsidRPr="00706E04">
        <w:rPr>
          <w:rFonts w:cs="Times New Roman"/>
          <w:b/>
          <w:sz w:val="24"/>
          <w:szCs w:val="24"/>
        </w:rPr>
        <w:t xml:space="preserve">2.  </w:t>
      </w:r>
      <w:r w:rsidR="00981BDB" w:rsidRPr="00706E04">
        <w:rPr>
          <w:rFonts w:cs="Times New Roman"/>
          <w:b/>
          <w:sz w:val="24"/>
          <w:szCs w:val="24"/>
        </w:rPr>
        <w:t xml:space="preserve">OPIS PLANIRANIH POLITIKA OPĆINE </w:t>
      </w:r>
      <w:r w:rsidRPr="00706E04">
        <w:rPr>
          <w:rFonts w:cs="Times New Roman"/>
          <w:b/>
          <w:sz w:val="24"/>
          <w:szCs w:val="24"/>
        </w:rPr>
        <w:t>KALNIK</w:t>
      </w:r>
    </w:p>
    <w:p w:rsidR="00981BDB" w:rsidRPr="00706E04" w:rsidRDefault="00981BDB" w:rsidP="00706E04">
      <w:pPr>
        <w:spacing w:after="120"/>
        <w:jc w:val="both"/>
        <w:rPr>
          <w:rFonts w:cs="Times New Roman"/>
        </w:rPr>
      </w:pPr>
      <w:r w:rsidRPr="00706E04">
        <w:rPr>
          <w:rFonts w:cs="Times New Roman"/>
        </w:rPr>
        <w:t>Osnovni ciljevi u</w:t>
      </w:r>
      <w:r w:rsidR="00B86A43" w:rsidRPr="00706E04">
        <w:rPr>
          <w:rFonts w:cs="Times New Roman"/>
        </w:rPr>
        <w:t xml:space="preserve"> provođenju politika Općine </w:t>
      </w:r>
      <w:r w:rsidR="003C1942" w:rsidRPr="00706E04">
        <w:rPr>
          <w:rFonts w:cs="Times New Roman"/>
        </w:rPr>
        <w:t>Kalnik</w:t>
      </w:r>
      <w:r w:rsidRPr="00706E04">
        <w:rPr>
          <w:rFonts w:cs="Times New Roman"/>
        </w:rPr>
        <w:t xml:space="preserve">, čije je ostvarivanje u funkciji razvoja cjelokupnog područja, kao i porasta životnog standarda stanovništva su: </w:t>
      </w:r>
    </w:p>
    <w:p w:rsidR="00981BDB" w:rsidRPr="00706E04" w:rsidRDefault="00981BDB" w:rsidP="00706E04">
      <w:pPr>
        <w:pStyle w:val="Odlomakpopisa"/>
        <w:numPr>
          <w:ilvl w:val="1"/>
          <w:numId w:val="13"/>
        </w:numPr>
        <w:spacing w:after="120"/>
        <w:ind w:left="426"/>
        <w:jc w:val="both"/>
        <w:rPr>
          <w:rFonts w:cs="Times New Roman"/>
        </w:rPr>
      </w:pPr>
      <w:r w:rsidRPr="00706E04">
        <w:rPr>
          <w:rFonts w:cs="Times New Roman"/>
        </w:rPr>
        <w:t xml:space="preserve">Porast zapošljavanja </w:t>
      </w:r>
    </w:p>
    <w:p w:rsidR="00981BDB" w:rsidRPr="00706E04" w:rsidRDefault="00981BDB" w:rsidP="00706E04">
      <w:pPr>
        <w:pStyle w:val="Odlomakpopisa"/>
        <w:numPr>
          <w:ilvl w:val="1"/>
          <w:numId w:val="13"/>
        </w:numPr>
        <w:spacing w:after="120"/>
        <w:ind w:left="426"/>
        <w:jc w:val="both"/>
        <w:rPr>
          <w:rFonts w:cs="Times New Roman"/>
        </w:rPr>
      </w:pPr>
      <w:r w:rsidRPr="00706E04">
        <w:rPr>
          <w:rFonts w:cs="Times New Roman"/>
        </w:rPr>
        <w:t xml:space="preserve">Porast životnog standarda kroz daljnji razvoj prometne i komunalne infrastrukture </w:t>
      </w:r>
    </w:p>
    <w:p w:rsidR="003C1942" w:rsidRPr="00706E04" w:rsidRDefault="003C1942" w:rsidP="00706E04">
      <w:pPr>
        <w:pStyle w:val="Odlomakpopisa"/>
        <w:numPr>
          <w:ilvl w:val="1"/>
          <w:numId w:val="13"/>
        </w:numPr>
        <w:spacing w:after="120"/>
        <w:ind w:left="426"/>
        <w:jc w:val="both"/>
        <w:rPr>
          <w:rFonts w:cs="Times New Roman"/>
        </w:rPr>
      </w:pPr>
      <w:r w:rsidRPr="00706E04">
        <w:rPr>
          <w:rFonts w:cs="Times New Roman"/>
        </w:rPr>
        <w:t>Stvaranje pretpostavki za daljnji razvoj turizma</w:t>
      </w:r>
    </w:p>
    <w:p w:rsidR="00981BDB" w:rsidRPr="00706E04" w:rsidRDefault="00981BDB" w:rsidP="00706E04">
      <w:pPr>
        <w:pStyle w:val="Odlomakpopisa"/>
        <w:numPr>
          <w:ilvl w:val="1"/>
          <w:numId w:val="13"/>
        </w:numPr>
        <w:spacing w:after="120"/>
        <w:ind w:left="426"/>
        <w:jc w:val="both"/>
        <w:rPr>
          <w:rFonts w:cs="Times New Roman"/>
        </w:rPr>
      </w:pPr>
      <w:r w:rsidRPr="00706E04">
        <w:rPr>
          <w:rFonts w:cs="Times New Roman"/>
        </w:rPr>
        <w:t xml:space="preserve">Briga o zdravlju, obrazovanju i socijalnoj sigurnosti građana </w:t>
      </w:r>
    </w:p>
    <w:p w:rsidR="00981BDB" w:rsidRPr="00706E04" w:rsidRDefault="00981BDB" w:rsidP="00706E04">
      <w:pPr>
        <w:pStyle w:val="Odlomakpopisa"/>
        <w:numPr>
          <w:ilvl w:val="1"/>
          <w:numId w:val="13"/>
        </w:numPr>
        <w:spacing w:after="120"/>
        <w:ind w:left="426"/>
        <w:jc w:val="both"/>
        <w:rPr>
          <w:rFonts w:cs="Times New Roman"/>
        </w:rPr>
      </w:pPr>
      <w:r w:rsidRPr="00706E04">
        <w:rPr>
          <w:rFonts w:cs="Times New Roman"/>
        </w:rPr>
        <w:t xml:space="preserve">Promoviranje i poticanje kulture, sporta, tehničke kulture, vatrogastva i drugih društvenih aktivnosti </w:t>
      </w:r>
    </w:p>
    <w:p w:rsidR="00981BDB" w:rsidRPr="00706E04" w:rsidRDefault="00981BDB" w:rsidP="00706E04">
      <w:pPr>
        <w:pStyle w:val="Odlomakpopisa"/>
        <w:numPr>
          <w:ilvl w:val="1"/>
          <w:numId w:val="13"/>
        </w:numPr>
        <w:spacing w:after="120"/>
        <w:ind w:left="426"/>
        <w:jc w:val="both"/>
        <w:rPr>
          <w:rFonts w:cs="Times New Roman"/>
        </w:rPr>
      </w:pPr>
      <w:r w:rsidRPr="00706E04">
        <w:rPr>
          <w:rFonts w:cs="Times New Roman"/>
        </w:rPr>
        <w:t xml:space="preserve">Prostorno-planski razvoj, zaštita okoliša i kulturnih dobara </w:t>
      </w:r>
    </w:p>
    <w:p w:rsidR="00981BDB" w:rsidRPr="00706E04" w:rsidRDefault="00981BDB" w:rsidP="00706E04">
      <w:pPr>
        <w:pStyle w:val="Odlomakpopisa"/>
        <w:numPr>
          <w:ilvl w:val="1"/>
          <w:numId w:val="13"/>
        </w:numPr>
        <w:spacing w:after="120"/>
        <w:ind w:left="426"/>
        <w:jc w:val="both"/>
        <w:rPr>
          <w:rFonts w:cs="Times New Roman"/>
        </w:rPr>
      </w:pPr>
      <w:r w:rsidRPr="00706E04">
        <w:rPr>
          <w:rFonts w:cs="Times New Roman"/>
        </w:rPr>
        <w:t>Uspostava sustava odgovornog, učinkovitog i transparentnog upravljanja proračunskim</w:t>
      </w:r>
      <w:r w:rsidRPr="00706E04">
        <w:t xml:space="preserve"> </w:t>
      </w:r>
      <w:r w:rsidRPr="00706E04">
        <w:rPr>
          <w:rFonts w:cs="Times New Roman"/>
        </w:rPr>
        <w:t xml:space="preserve">sredstvima sukladno Zakonu o fiskalnoj odgovornosti </w:t>
      </w:r>
    </w:p>
    <w:p w:rsidR="00A41E1A" w:rsidRPr="00706E04" w:rsidRDefault="00A41E1A" w:rsidP="00706E04">
      <w:pPr>
        <w:spacing w:after="120"/>
        <w:jc w:val="both"/>
        <w:rPr>
          <w:rFonts w:cs="Times New Roman"/>
          <w:sz w:val="24"/>
          <w:szCs w:val="24"/>
        </w:rPr>
      </w:pPr>
    </w:p>
    <w:p w:rsidR="00096078" w:rsidRPr="00706E04" w:rsidRDefault="003C1942" w:rsidP="00706E04">
      <w:pPr>
        <w:pStyle w:val="Odlomakpopisa"/>
        <w:spacing w:after="120"/>
        <w:ind w:left="0"/>
        <w:jc w:val="both"/>
        <w:rPr>
          <w:rFonts w:cs="Times New Roman"/>
          <w:b/>
          <w:sz w:val="24"/>
          <w:szCs w:val="24"/>
        </w:rPr>
      </w:pPr>
      <w:r w:rsidRPr="00706E04">
        <w:rPr>
          <w:rFonts w:cs="Times New Roman"/>
          <w:b/>
          <w:sz w:val="24"/>
          <w:szCs w:val="24"/>
        </w:rPr>
        <w:t xml:space="preserve">3. </w:t>
      </w:r>
      <w:r w:rsidR="00096078" w:rsidRPr="00706E04">
        <w:rPr>
          <w:rFonts w:cs="Times New Roman"/>
          <w:b/>
          <w:sz w:val="24"/>
          <w:szCs w:val="24"/>
        </w:rPr>
        <w:t xml:space="preserve">PROCJENA PRIHODA I RASHODA, TE </w:t>
      </w:r>
      <w:r w:rsidR="00F47AE5" w:rsidRPr="00706E04">
        <w:rPr>
          <w:rFonts w:cs="Times New Roman"/>
          <w:b/>
          <w:sz w:val="24"/>
          <w:szCs w:val="24"/>
        </w:rPr>
        <w:t xml:space="preserve">PRIMITAKA I IZDATAKA OPĆINE </w:t>
      </w:r>
      <w:r w:rsidR="003F3F26" w:rsidRPr="00706E04">
        <w:rPr>
          <w:rFonts w:cs="Times New Roman"/>
          <w:b/>
          <w:sz w:val="24"/>
          <w:szCs w:val="24"/>
        </w:rPr>
        <w:t>KALNIK</w:t>
      </w:r>
      <w:r w:rsidR="00096078" w:rsidRPr="00706E04">
        <w:rPr>
          <w:rFonts w:cs="Times New Roman"/>
          <w:b/>
          <w:sz w:val="24"/>
          <w:szCs w:val="24"/>
        </w:rPr>
        <w:t xml:space="preserve"> U SLJEDEĆE TRI GODINE </w:t>
      </w:r>
    </w:p>
    <w:p w:rsidR="00096078" w:rsidRPr="00706E04" w:rsidRDefault="00096078" w:rsidP="00706E04">
      <w:pPr>
        <w:spacing w:after="120"/>
        <w:jc w:val="both"/>
        <w:rPr>
          <w:rFonts w:cs="Times New Roman"/>
        </w:rPr>
      </w:pPr>
      <w:r w:rsidRPr="00706E04">
        <w:rPr>
          <w:rFonts w:cs="Times New Roman"/>
        </w:rPr>
        <w:t xml:space="preserve">Prihodi jedinica lokalne i područne (regionalne) samouprave planiraju se na temelju istih makroekonomskih pretpostavki kao i kod prihoda državnog proračuna, u skladu s trenutnim kretanjima i makroekonomskim projekcijama za spomenuto razdoblje. </w:t>
      </w:r>
    </w:p>
    <w:p w:rsidR="00096078" w:rsidRPr="00706E04" w:rsidRDefault="00096078" w:rsidP="00706E04">
      <w:pPr>
        <w:spacing w:after="120"/>
        <w:jc w:val="both"/>
        <w:rPr>
          <w:rFonts w:cs="Times New Roman"/>
        </w:rPr>
      </w:pPr>
      <w:r w:rsidRPr="00706E04">
        <w:rPr>
          <w:rFonts w:cs="Times New Roman"/>
        </w:rPr>
        <w:t>Najvažniji prihodi jedinica lokalne i područne (regionalne) samouprave jesu prihodi od poreza i prireza na dohodak. Očekuje se da će u naredne tri godine prihodi od poreza, kao i prihodi od imovine biti</w:t>
      </w:r>
      <w:r w:rsidR="00544730" w:rsidRPr="00706E04">
        <w:rPr>
          <w:rFonts w:cs="Times New Roman"/>
        </w:rPr>
        <w:t xml:space="preserve"> na razini Proračuna Općine </w:t>
      </w:r>
      <w:r w:rsidR="003F3F26" w:rsidRPr="00706E04">
        <w:rPr>
          <w:rFonts w:cs="Times New Roman"/>
        </w:rPr>
        <w:t>Kalnik</w:t>
      </w:r>
      <w:r w:rsidR="00E523FB" w:rsidRPr="00706E04">
        <w:rPr>
          <w:rFonts w:cs="Times New Roman"/>
        </w:rPr>
        <w:t xml:space="preserve"> za 2021</w:t>
      </w:r>
      <w:r w:rsidRPr="00706E04">
        <w:rPr>
          <w:rFonts w:cs="Times New Roman"/>
        </w:rPr>
        <w:t>.</w:t>
      </w:r>
      <w:r w:rsidR="00A12D10" w:rsidRPr="00706E04">
        <w:rPr>
          <w:rFonts w:cs="Times New Roman"/>
        </w:rPr>
        <w:t xml:space="preserve"> </w:t>
      </w:r>
      <w:r w:rsidR="00DC5FE6" w:rsidRPr="00706E04">
        <w:rPr>
          <w:rFonts w:cs="Times New Roman"/>
        </w:rPr>
        <w:t>g</w:t>
      </w:r>
      <w:r w:rsidR="00A12D10" w:rsidRPr="00706E04">
        <w:rPr>
          <w:rFonts w:cs="Times New Roman"/>
        </w:rPr>
        <w:t>odinu</w:t>
      </w:r>
      <w:r w:rsidR="00DC5FE6" w:rsidRPr="00706E04">
        <w:rPr>
          <w:rFonts w:cs="Times New Roman"/>
        </w:rPr>
        <w:t>.</w:t>
      </w:r>
      <w:r w:rsidR="00CB21A1" w:rsidRPr="00706E04">
        <w:rPr>
          <w:rFonts w:cs="Times New Roman"/>
        </w:rPr>
        <w:t xml:space="preserve"> S</w:t>
      </w:r>
      <w:r w:rsidR="005717E4" w:rsidRPr="00706E04">
        <w:rPr>
          <w:rFonts w:cs="Times New Roman"/>
        </w:rPr>
        <w:t xml:space="preserve">redstva </w:t>
      </w:r>
      <w:r w:rsidR="00CB21A1" w:rsidRPr="00706E04">
        <w:rPr>
          <w:rFonts w:cs="Times New Roman"/>
        </w:rPr>
        <w:t>fiskalnog izravnanja osiguravat će se i dalje</w:t>
      </w:r>
      <w:r w:rsidR="005717E4" w:rsidRPr="00706E04">
        <w:rPr>
          <w:rFonts w:cs="Times New Roman"/>
        </w:rPr>
        <w:t xml:space="preserve"> u državnom proračunu.</w:t>
      </w:r>
    </w:p>
    <w:p w:rsidR="00981BDB" w:rsidRPr="00706E04" w:rsidRDefault="00096078" w:rsidP="00706E04">
      <w:pPr>
        <w:spacing w:after="120"/>
        <w:jc w:val="both"/>
        <w:rPr>
          <w:rFonts w:cs="Times New Roman"/>
        </w:rPr>
      </w:pPr>
      <w:r w:rsidRPr="00706E04">
        <w:rPr>
          <w:rFonts w:cs="Times New Roman"/>
        </w:rPr>
        <w:t>Bitno je istaknuti da pri izradi proračuna jedinica lokalne i područne (regionalne) samouprave, uz smjernice kretanja prihoda i rashoda, svaka jedinica samouprave izrađuje plan rashoda uzimajući u obzir vlastite gospodarske i društvene specifičnosti te pridržavajući se Zakona o proračunu i Zakona o fiskalnoj odgovornosti.</w:t>
      </w:r>
    </w:p>
    <w:p w:rsidR="0031214E" w:rsidRPr="00706E04" w:rsidRDefault="0031214E" w:rsidP="00706E04">
      <w:pPr>
        <w:spacing w:after="120"/>
        <w:jc w:val="both"/>
        <w:rPr>
          <w:rFonts w:cs="Times New Roman"/>
          <w:b/>
          <w:bCs/>
          <w:sz w:val="24"/>
          <w:szCs w:val="24"/>
        </w:rPr>
      </w:pPr>
    </w:p>
    <w:p w:rsidR="0031214E" w:rsidRPr="00706E04" w:rsidRDefault="0031214E" w:rsidP="00706E04">
      <w:pPr>
        <w:spacing w:after="120"/>
        <w:jc w:val="both"/>
        <w:rPr>
          <w:rFonts w:cs="Times New Roman"/>
          <w:b/>
          <w:bCs/>
          <w:sz w:val="24"/>
          <w:szCs w:val="24"/>
        </w:rPr>
      </w:pPr>
      <w:r w:rsidRPr="00706E04">
        <w:rPr>
          <w:rFonts w:cs="Times New Roman"/>
          <w:b/>
          <w:bCs/>
          <w:sz w:val="24"/>
          <w:szCs w:val="24"/>
        </w:rPr>
        <w:lastRenderedPageBreak/>
        <w:t>4.   VISINA FINANCIJSKOG PLANA PRORAČUNSKOG KORISNIKA</w:t>
      </w:r>
    </w:p>
    <w:p w:rsidR="0031214E" w:rsidRPr="00706E04" w:rsidRDefault="0031214E" w:rsidP="00706E04">
      <w:pPr>
        <w:spacing w:after="120"/>
        <w:jc w:val="both"/>
        <w:rPr>
          <w:rFonts w:cs="Times New Roman"/>
        </w:rPr>
      </w:pPr>
      <w:r w:rsidRPr="00706E04">
        <w:rPr>
          <w:rFonts w:cs="Times New Roman"/>
        </w:rPr>
        <w:t xml:space="preserve">Upravno vijeće obavezno je usvojiti financijski plan korisnika, a predstavničko tijelo proračun za 2022. godinu na razini podskupine (treća razina računskog plana),  a projekcije za 2023. i 2024. godinu na razini skupine (druga razina računskog plana). </w:t>
      </w:r>
    </w:p>
    <w:p w:rsidR="0031214E" w:rsidRPr="00706E04" w:rsidRDefault="0031214E" w:rsidP="00706E04">
      <w:pPr>
        <w:spacing w:after="120"/>
        <w:jc w:val="both"/>
        <w:rPr>
          <w:rFonts w:cs="Times New Roman"/>
        </w:rPr>
      </w:pPr>
      <w:r w:rsidRPr="00706E04">
        <w:rPr>
          <w:rFonts w:cs="Times New Roman"/>
        </w:rPr>
        <w:t>Ovim uputama kako to nalaže Zakon o fiskalnoj odgovornosti određuju se limiti u apsolutnim iznosima koji je proračunski korisnik dužan razraditi u svojim financijskim planovima. Dakle, iznos koji je određen za financiranje proračunskog korisnika u svojem financijskom planu potrebno je raspodijeliti na programe, aktivnosti i projekte.</w:t>
      </w:r>
    </w:p>
    <w:p w:rsidR="0031214E" w:rsidRPr="00706E04" w:rsidRDefault="002454D4" w:rsidP="00706E04">
      <w:pPr>
        <w:spacing w:after="120"/>
        <w:jc w:val="both"/>
        <w:rPr>
          <w:rFonts w:cs="Times New Roman"/>
        </w:rPr>
      </w:pPr>
      <w:r w:rsidRPr="00706E04">
        <w:rPr>
          <w:rFonts w:cs="Times New Roman"/>
        </w:rPr>
        <w:t xml:space="preserve">Planirani limit financijskih sredstava u 2021. godini iz proračuna Općine Kalnik za proračunskog korisnika Dječji vrtić „Kalnički jaglac“ iznosi </w:t>
      </w:r>
      <w:r w:rsidR="00093023">
        <w:rPr>
          <w:rFonts w:cs="Times New Roman"/>
        </w:rPr>
        <w:t>6</w:t>
      </w:r>
      <w:r w:rsidR="00142BAF" w:rsidRPr="00706E04">
        <w:rPr>
          <w:rFonts w:cs="Times New Roman"/>
        </w:rPr>
        <w:t>00</w:t>
      </w:r>
      <w:r w:rsidRPr="00706E04">
        <w:rPr>
          <w:rFonts w:cs="Times New Roman"/>
        </w:rPr>
        <w:t>.000,00 kuna.</w:t>
      </w:r>
    </w:p>
    <w:p w:rsidR="0031214E" w:rsidRPr="00706E04" w:rsidRDefault="0031214E" w:rsidP="00706E04">
      <w:pPr>
        <w:spacing w:after="120"/>
        <w:jc w:val="both"/>
        <w:rPr>
          <w:rFonts w:cs="Times New Roman"/>
        </w:rPr>
      </w:pPr>
      <w:r w:rsidRPr="00706E04">
        <w:rPr>
          <w:rFonts w:cs="Times New Roman"/>
        </w:rPr>
        <w:t xml:space="preserve">Navedeni limit za korisnika Dječji vrtić </w:t>
      </w:r>
      <w:r w:rsidR="00142BAF" w:rsidRPr="00706E04">
        <w:rPr>
          <w:rFonts w:cs="Times New Roman"/>
        </w:rPr>
        <w:t>„Kalnički jaglac“</w:t>
      </w:r>
      <w:r w:rsidRPr="00706E04">
        <w:rPr>
          <w:rFonts w:cs="Times New Roman"/>
        </w:rPr>
        <w:t xml:space="preserve"> odnose se na sredstva potrebna za provedbu postojećih redovnih programa, odnosno aktivnosti (koje proizlaze iz trenutno važećih propisa)</w:t>
      </w:r>
      <w:r w:rsidR="00142BAF" w:rsidRPr="00706E04">
        <w:rPr>
          <w:rFonts w:cs="Times New Roman"/>
        </w:rPr>
        <w:t>, a obuhvaćaju troškove održavanja postojeće razine usluge</w:t>
      </w:r>
      <w:r w:rsidRPr="00706E04">
        <w:rPr>
          <w:rFonts w:cs="Times New Roman"/>
        </w:rPr>
        <w:t>.</w:t>
      </w:r>
    </w:p>
    <w:p w:rsidR="0031214E" w:rsidRPr="00706E04" w:rsidRDefault="0031214E" w:rsidP="00706E04">
      <w:pPr>
        <w:spacing w:after="120"/>
        <w:jc w:val="both"/>
        <w:rPr>
          <w:rFonts w:cs="Times New Roman"/>
        </w:rPr>
      </w:pPr>
      <w:r w:rsidRPr="00706E04">
        <w:rPr>
          <w:rFonts w:cs="Times New Roman"/>
        </w:rPr>
        <w:t>Drugi limit će se utvrđivati sa korisnikom Proračuna Dječj</w:t>
      </w:r>
      <w:r w:rsidR="00142BAF" w:rsidRPr="00706E04">
        <w:rPr>
          <w:rFonts w:cs="Times New Roman"/>
        </w:rPr>
        <w:t>i vrtić „Kalnički jaglac“</w:t>
      </w:r>
      <w:r w:rsidRPr="00706E04">
        <w:rPr>
          <w:rFonts w:cs="Times New Roman"/>
        </w:rPr>
        <w:t xml:space="preserve"> ovisno o sredstvima potrebnim za provedbu novih ili promjenu postojećih programa, odnosno aktivnosti.</w:t>
      </w:r>
    </w:p>
    <w:p w:rsidR="0031214E" w:rsidRPr="00706E04" w:rsidRDefault="0031214E" w:rsidP="00706E04">
      <w:pPr>
        <w:spacing w:after="120"/>
        <w:jc w:val="both"/>
        <w:rPr>
          <w:rFonts w:cs="Times New Roman"/>
        </w:rPr>
      </w:pPr>
      <w:r w:rsidRPr="00706E04">
        <w:rPr>
          <w:rFonts w:cs="Times New Roman"/>
        </w:rPr>
        <w:t>Kada je riječ o promjenama u financijskom planu proračunskog korisnika koje su vezane uz financiranje iz izvora općih prihoda i primitaka, odnosno iz nadležnog proračuna, izmjene i dopune financijskog plana proračunskog korisnika nisu moguće bez suglasnosti Općine, Izmjene i dopune financijskog plana vezane uz „fleksibilne“ izvore (vlastiti i namjenske prihode i primitke) moguće je urediti na različite načine uz suglasnost Općine.</w:t>
      </w:r>
    </w:p>
    <w:p w:rsidR="0031214E" w:rsidRDefault="0031214E" w:rsidP="00706E04">
      <w:pPr>
        <w:spacing w:after="120"/>
        <w:jc w:val="both"/>
        <w:rPr>
          <w:rFonts w:cs="Times New Roman"/>
        </w:rPr>
      </w:pPr>
      <w:r w:rsidRPr="00706E04">
        <w:rPr>
          <w:rFonts w:cs="Times New Roman"/>
        </w:rPr>
        <w:t xml:space="preserve">Ovime će se dodatno ojačati sustav odgovornosti proračunskih korisnika za dodijeljena sredstva potrebna za provedbu postojećih programa, odnosno aktivnosti. Istodobno će se postići transparentnost u utvrđivanju troškova provedbe novih politika te će se izbjeći situacija otvaranja novih aktivnosti i stvaranja novih obveza u uvjetima u kojima su sredstva osigurana isključivo u visini potrebnoj za provođenje postojećih aktivnosti i projekata. </w:t>
      </w:r>
    </w:p>
    <w:p w:rsidR="00706E04" w:rsidRPr="00706E04" w:rsidRDefault="00706E04" w:rsidP="00706E04">
      <w:pPr>
        <w:spacing w:after="120"/>
        <w:jc w:val="both"/>
        <w:rPr>
          <w:rFonts w:cs="Times New Roman"/>
        </w:rPr>
      </w:pPr>
    </w:p>
    <w:p w:rsidR="004515E3" w:rsidRPr="00706E04" w:rsidRDefault="00013A49" w:rsidP="00706E04">
      <w:pPr>
        <w:pStyle w:val="Odlomakpopisa"/>
        <w:spacing w:after="120"/>
        <w:ind w:left="0"/>
        <w:jc w:val="both"/>
        <w:rPr>
          <w:rFonts w:cs="Times New Roman"/>
          <w:b/>
          <w:sz w:val="24"/>
          <w:szCs w:val="24"/>
        </w:rPr>
      </w:pPr>
      <w:r w:rsidRPr="00706E04">
        <w:rPr>
          <w:rFonts w:cs="Times New Roman"/>
          <w:b/>
          <w:sz w:val="24"/>
          <w:szCs w:val="24"/>
        </w:rPr>
        <w:t xml:space="preserve">5. </w:t>
      </w:r>
      <w:r w:rsidR="00864EA0" w:rsidRPr="00706E04">
        <w:rPr>
          <w:rFonts w:cs="Times New Roman"/>
          <w:b/>
          <w:sz w:val="24"/>
          <w:szCs w:val="24"/>
        </w:rPr>
        <w:t>METODOLOGIJA IZRADE PRIJEDLOGA FINANCIJSKOG PLANA PRORAČUNSKOG</w:t>
      </w:r>
      <w:r w:rsidR="008A2DD3" w:rsidRPr="00706E04">
        <w:rPr>
          <w:rFonts w:cs="Times New Roman"/>
          <w:b/>
          <w:sz w:val="24"/>
          <w:szCs w:val="24"/>
        </w:rPr>
        <w:t xml:space="preserve"> KORISNIKA </w:t>
      </w:r>
    </w:p>
    <w:p w:rsidR="00C64509" w:rsidRPr="00706E04" w:rsidRDefault="00C64509" w:rsidP="00706E04">
      <w:pPr>
        <w:spacing w:after="120"/>
        <w:jc w:val="both"/>
        <w:rPr>
          <w:rFonts w:cs="Times New Roman"/>
        </w:rPr>
      </w:pPr>
      <w:r w:rsidRPr="00706E04">
        <w:rPr>
          <w:rFonts w:cs="Times New Roman"/>
        </w:rPr>
        <w:t>Proračunski korisnik obvez</w:t>
      </w:r>
      <w:r w:rsidR="00F923FF" w:rsidRPr="00706E04">
        <w:rPr>
          <w:rFonts w:cs="Times New Roman"/>
        </w:rPr>
        <w:t>a</w:t>
      </w:r>
      <w:r w:rsidRPr="00706E04">
        <w:rPr>
          <w:rFonts w:cs="Times New Roman"/>
        </w:rPr>
        <w:t>n je izrađivati financijske planove u skladu s odredbama Zakona o proračunu</w:t>
      </w:r>
      <w:r w:rsidR="00097993" w:rsidRPr="00706E04">
        <w:rPr>
          <w:rFonts w:cs="Times New Roman"/>
        </w:rPr>
        <w:t xml:space="preserve"> (Narodne novine</w:t>
      </w:r>
      <w:r w:rsidR="00264CD4" w:rsidRPr="00706E04">
        <w:rPr>
          <w:rFonts w:cs="Times New Roman"/>
        </w:rPr>
        <w:t xml:space="preserve"> </w:t>
      </w:r>
      <w:r w:rsidR="00097993" w:rsidRPr="00706E04">
        <w:rPr>
          <w:rFonts w:cs="Times New Roman"/>
        </w:rPr>
        <w:t>br.</w:t>
      </w:r>
      <w:r w:rsidR="00F67F1B" w:rsidRPr="00706E04">
        <w:rPr>
          <w:rFonts w:cs="Times New Roman"/>
        </w:rPr>
        <w:t>87/08, 136/12, 15/15)</w:t>
      </w:r>
      <w:r w:rsidRPr="00706E04">
        <w:rPr>
          <w:rFonts w:cs="Times New Roman"/>
        </w:rPr>
        <w:t>, Pravilnika o proračunskim klasifikaci</w:t>
      </w:r>
      <w:r w:rsidR="00CD2C4C" w:rsidRPr="00706E04">
        <w:rPr>
          <w:rFonts w:cs="Times New Roman"/>
        </w:rPr>
        <w:t>jama (Narodne novine, br. 26/10</w:t>
      </w:r>
      <w:r w:rsidR="00552674" w:rsidRPr="00706E04">
        <w:rPr>
          <w:rFonts w:cs="Times New Roman"/>
        </w:rPr>
        <w:t>, 120/13</w:t>
      </w:r>
      <w:r w:rsidR="00CD2C4C" w:rsidRPr="00706E04">
        <w:rPr>
          <w:rFonts w:cs="Times New Roman"/>
        </w:rPr>
        <w:t xml:space="preserve"> i</w:t>
      </w:r>
      <w:r w:rsidRPr="00706E04">
        <w:rPr>
          <w:rFonts w:cs="Times New Roman"/>
        </w:rPr>
        <w:t xml:space="preserve"> </w:t>
      </w:r>
      <w:r w:rsidR="004362FA" w:rsidRPr="00706E04">
        <w:rPr>
          <w:rFonts w:cs="Times New Roman"/>
        </w:rPr>
        <w:t>1/20</w:t>
      </w:r>
      <w:r w:rsidR="00661AAC" w:rsidRPr="00706E04">
        <w:rPr>
          <w:rFonts w:cs="Times New Roman"/>
        </w:rPr>
        <w:t>)</w:t>
      </w:r>
      <w:r w:rsidR="00212D7A" w:rsidRPr="00706E04">
        <w:rPr>
          <w:rFonts w:cs="Times New Roman"/>
        </w:rPr>
        <w:t xml:space="preserve">   </w:t>
      </w:r>
      <w:r w:rsidRPr="00706E04">
        <w:rPr>
          <w:rFonts w:cs="Times New Roman"/>
        </w:rPr>
        <w:t xml:space="preserve">i  </w:t>
      </w:r>
      <w:r w:rsidR="00CA23B2" w:rsidRPr="00706E04">
        <w:rPr>
          <w:rFonts w:cs="Times New Roman"/>
        </w:rPr>
        <w:t>Pravilnika o proračunskom računovodstvu i Računskom planu (Narodne novine, br. 124/14, 115/15 i 87/16</w:t>
      </w:r>
      <w:r w:rsidR="009D52CC" w:rsidRPr="00706E04">
        <w:rPr>
          <w:rFonts w:cs="Times New Roman"/>
        </w:rPr>
        <w:t>, 3/18, 126/19</w:t>
      </w:r>
      <w:r w:rsidR="00E47D45" w:rsidRPr="00706E04">
        <w:rPr>
          <w:rFonts w:cs="Times New Roman"/>
        </w:rPr>
        <w:t xml:space="preserve"> i 108/20</w:t>
      </w:r>
      <w:r w:rsidR="00CA23B2" w:rsidRPr="00706E04">
        <w:rPr>
          <w:rFonts w:cs="Times New Roman"/>
        </w:rPr>
        <w:t>) te se pridržavati ovih Uputa.</w:t>
      </w:r>
    </w:p>
    <w:p w:rsidR="00132E72" w:rsidRPr="00706E04" w:rsidRDefault="00132E72" w:rsidP="00706E04">
      <w:pPr>
        <w:spacing w:after="120"/>
        <w:jc w:val="both"/>
        <w:rPr>
          <w:rFonts w:cs="Times New Roman"/>
        </w:rPr>
      </w:pPr>
      <w:r w:rsidRPr="00706E04">
        <w:rPr>
          <w:rFonts w:cs="Times New Roman"/>
        </w:rPr>
        <w:t xml:space="preserve">Proračunski korisnik svoj financijski plan dostavlja Općini </w:t>
      </w:r>
      <w:r w:rsidR="00013A49" w:rsidRPr="00706E04">
        <w:rPr>
          <w:rFonts w:cs="Times New Roman"/>
        </w:rPr>
        <w:t>Kalnik</w:t>
      </w:r>
      <w:r w:rsidRPr="00706E04">
        <w:rPr>
          <w:rFonts w:cs="Times New Roman"/>
        </w:rPr>
        <w:t xml:space="preserve">, </w:t>
      </w:r>
      <w:r w:rsidR="00CC1577" w:rsidRPr="00706E04">
        <w:rPr>
          <w:rFonts w:cs="Times New Roman"/>
        </w:rPr>
        <w:t>odnos</w:t>
      </w:r>
      <w:r w:rsidR="00762282" w:rsidRPr="00706E04">
        <w:rPr>
          <w:rFonts w:cs="Times New Roman"/>
        </w:rPr>
        <w:t xml:space="preserve">no Jedinstvenom upravnom odjelu, na temelju tako dostavljenog financijskog plana izrađuje se proračun </w:t>
      </w:r>
      <w:r w:rsidR="00013A49" w:rsidRPr="00706E04">
        <w:rPr>
          <w:rFonts w:cs="Times New Roman"/>
        </w:rPr>
        <w:t>Općine Kalnik</w:t>
      </w:r>
      <w:r w:rsidR="00762282" w:rsidRPr="00706E04">
        <w:rPr>
          <w:rFonts w:cs="Times New Roman"/>
        </w:rPr>
        <w:t>.</w:t>
      </w:r>
    </w:p>
    <w:p w:rsidR="008B68B8" w:rsidRPr="00706E04" w:rsidRDefault="008B68B8" w:rsidP="00706E04">
      <w:pPr>
        <w:spacing w:after="120"/>
        <w:jc w:val="both"/>
        <w:rPr>
          <w:rFonts w:cs="Times New Roman"/>
        </w:rPr>
      </w:pPr>
      <w:r w:rsidRPr="00706E04">
        <w:rPr>
          <w:rFonts w:cs="Times New Roman"/>
        </w:rPr>
        <w:t xml:space="preserve">Proračunski korisnik u financijskom planu treba iskazati sve svoje prihode i rashode bez obzira na moguće uplate dijela prihoda korisnika u proračun Općine ili podmirivanje dijela rashoda korisnika direktno s računa proračuna. </w:t>
      </w:r>
    </w:p>
    <w:p w:rsidR="00FC5805" w:rsidRPr="00706E04" w:rsidRDefault="00FC5805" w:rsidP="00706E04">
      <w:pPr>
        <w:spacing w:after="120"/>
        <w:jc w:val="both"/>
        <w:rPr>
          <w:rFonts w:cs="Times New Roman"/>
        </w:rPr>
      </w:pPr>
      <w:r w:rsidRPr="00706E04">
        <w:rPr>
          <w:rFonts w:cs="Times New Roman"/>
        </w:rPr>
        <w:t>Prijedlog financijskog plana proračun</w:t>
      </w:r>
      <w:r w:rsidR="00EB3896" w:rsidRPr="00706E04">
        <w:rPr>
          <w:rFonts w:cs="Times New Roman"/>
        </w:rPr>
        <w:t xml:space="preserve">skog korisnika </w:t>
      </w:r>
      <w:r w:rsidR="008B68B8" w:rsidRPr="00706E04">
        <w:rPr>
          <w:rFonts w:cs="Times New Roman"/>
        </w:rPr>
        <w:t xml:space="preserve">Općine </w:t>
      </w:r>
      <w:r w:rsidRPr="00706E04">
        <w:rPr>
          <w:rFonts w:cs="Times New Roman"/>
        </w:rPr>
        <w:t>u skladu s</w:t>
      </w:r>
      <w:r w:rsidR="008B68B8" w:rsidRPr="00706E04">
        <w:rPr>
          <w:rFonts w:cs="Times New Roman"/>
        </w:rPr>
        <w:t>a člankom 29.</w:t>
      </w:r>
      <w:r w:rsidRPr="00706E04">
        <w:rPr>
          <w:rFonts w:cs="Times New Roman"/>
        </w:rPr>
        <w:t xml:space="preserve"> </w:t>
      </w:r>
      <w:r w:rsidR="008B68B8" w:rsidRPr="00706E04">
        <w:rPr>
          <w:rFonts w:cs="Times New Roman"/>
        </w:rPr>
        <w:t>Z</w:t>
      </w:r>
      <w:r w:rsidRPr="00706E04">
        <w:rPr>
          <w:rFonts w:cs="Times New Roman"/>
        </w:rPr>
        <w:t>akona o proračunu sadrži:</w:t>
      </w:r>
    </w:p>
    <w:p w:rsidR="00FC5805" w:rsidRPr="00706E04" w:rsidRDefault="00FC5805" w:rsidP="00706E04">
      <w:pPr>
        <w:pStyle w:val="Odlomakpopisa"/>
        <w:numPr>
          <w:ilvl w:val="0"/>
          <w:numId w:val="14"/>
        </w:numPr>
        <w:spacing w:after="120"/>
        <w:ind w:left="567"/>
        <w:jc w:val="both"/>
        <w:rPr>
          <w:rFonts w:cs="Times New Roman"/>
        </w:rPr>
      </w:pPr>
      <w:r w:rsidRPr="00706E04">
        <w:rPr>
          <w:rFonts w:cs="Times New Roman"/>
        </w:rPr>
        <w:t xml:space="preserve">procjene prihoda i primitaka iskazane po </w:t>
      </w:r>
      <w:r w:rsidR="00117DB6" w:rsidRPr="00706E04">
        <w:rPr>
          <w:rFonts w:cs="Times New Roman"/>
        </w:rPr>
        <w:t>v</w:t>
      </w:r>
      <w:r w:rsidR="0038377E" w:rsidRPr="00706E04">
        <w:rPr>
          <w:rFonts w:cs="Times New Roman"/>
        </w:rPr>
        <w:t>rstama za razdoblje 202</w:t>
      </w:r>
      <w:r w:rsidR="00EB3896" w:rsidRPr="00706E04">
        <w:rPr>
          <w:rFonts w:cs="Times New Roman"/>
        </w:rPr>
        <w:t>2.-2024</w:t>
      </w:r>
      <w:r w:rsidR="0038377E" w:rsidRPr="00706E04">
        <w:rPr>
          <w:rFonts w:cs="Times New Roman"/>
        </w:rPr>
        <w:t>.</w:t>
      </w:r>
    </w:p>
    <w:p w:rsidR="00117DB6" w:rsidRPr="00706E04" w:rsidRDefault="00117DB6" w:rsidP="00706E04">
      <w:pPr>
        <w:pStyle w:val="Odlomakpopisa"/>
        <w:numPr>
          <w:ilvl w:val="0"/>
          <w:numId w:val="14"/>
        </w:numPr>
        <w:spacing w:after="120"/>
        <w:ind w:left="567"/>
        <w:jc w:val="both"/>
        <w:rPr>
          <w:rFonts w:cs="Times New Roman"/>
        </w:rPr>
      </w:pPr>
      <w:r w:rsidRPr="00706E04">
        <w:rPr>
          <w:rFonts w:cs="Times New Roman"/>
        </w:rPr>
        <w:t>plan rash</w:t>
      </w:r>
      <w:r w:rsidR="00EB3896" w:rsidRPr="00706E04">
        <w:rPr>
          <w:rFonts w:cs="Times New Roman"/>
        </w:rPr>
        <w:t>oda i izdataka za razdoblje 2022.-2024</w:t>
      </w:r>
      <w:r w:rsidRPr="00706E04">
        <w:rPr>
          <w:rFonts w:cs="Times New Roman"/>
        </w:rPr>
        <w:t>., razvrstane prema proračunskim klasifikacijama i</w:t>
      </w:r>
    </w:p>
    <w:p w:rsidR="006F094C" w:rsidRPr="00706E04" w:rsidRDefault="006F094C" w:rsidP="00706E04">
      <w:pPr>
        <w:pStyle w:val="Odlomakpopisa"/>
        <w:numPr>
          <w:ilvl w:val="0"/>
          <w:numId w:val="14"/>
        </w:numPr>
        <w:spacing w:after="120"/>
        <w:ind w:left="567"/>
        <w:jc w:val="both"/>
        <w:rPr>
          <w:rFonts w:cs="Times New Roman"/>
        </w:rPr>
      </w:pPr>
      <w:r w:rsidRPr="00706E04">
        <w:rPr>
          <w:rFonts w:cs="Times New Roman"/>
        </w:rPr>
        <w:lastRenderedPageBreak/>
        <w:t>obrazloženje prijedloga financijskog plana</w:t>
      </w:r>
    </w:p>
    <w:p w:rsidR="00706E04" w:rsidRPr="00706E04" w:rsidRDefault="00706E04" w:rsidP="00706E04">
      <w:pPr>
        <w:spacing w:after="120"/>
        <w:jc w:val="both"/>
        <w:rPr>
          <w:rFonts w:cs="Times New Roman"/>
        </w:rPr>
      </w:pPr>
      <w:r w:rsidRPr="00706E04">
        <w:rPr>
          <w:rFonts w:cs="Times New Roman"/>
        </w:rPr>
        <w:t>Financijski plan proračunskog korisnika treba biti uravnotežen. Izuzev prihoda i rashoda u financijski plan je potrebno uključiti i predviđeni manjak, odnosno eventualni višak prihoda, te s navedenim bilančnim kategorijama postići uravnoteženje.</w:t>
      </w:r>
    </w:p>
    <w:p w:rsidR="00706E04" w:rsidRPr="00706E04" w:rsidRDefault="00706E04" w:rsidP="00706E04">
      <w:pPr>
        <w:spacing w:after="120"/>
        <w:rPr>
          <w:b/>
        </w:rPr>
      </w:pPr>
      <w:r w:rsidRPr="00706E04">
        <w:rPr>
          <w:b/>
        </w:rPr>
        <w:t xml:space="preserve">Procjena prihoda i primitaka </w:t>
      </w:r>
    </w:p>
    <w:p w:rsidR="00706E04" w:rsidRPr="00706E04" w:rsidRDefault="00706E04" w:rsidP="00706E04">
      <w:pPr>
        <w:spacing w:after="120"/>
        <w:jc w:val="both"/>
      </w:pPr>
      <w:r w:rsidRPr="00706E04">
        <w:t>Proračunski korisnik jedinice lokalne i područne (regionalne) samouprave prihode i primitke za 202</w:t>
      </w:r>
      <w:r w:rsidR="00D66747">
        <w:t>2</w:t>
      </w:r>
      <w:r w:rsidRPr="00706E04">
        <w:t>. godinu planira na razini podskupine (treća razina računskog plana), a za 202</w:t>
      </w:r>
      <w:r w:rsidR="00D66747">
        <w:t>3</w:t>
      </w:r>
      <w:r w:rsidRPr="00706E04">
        <w:t>. i 202</w:t>
      </w:r>
      <w:r w:rsidR="00D66747">
        <w:t>4</w:t>
      </w:r>
      <w:r w:rsidRPr="00706E04">
        <w:t xml:space="preserve">. na razini skupine (druga razina računskog plana). Jedinice lokalne i područne (regionalne) samouprave  i njihovi proračunski korisnici koriste izvore financiranja definirane Pravilnikom o proračunskim klasifikacijama. </w:t>
      </w:r>
    </w:p>
    <w:p w:rsidR="00706E04" w:rsidRPr="00706E04" w:rsidRDefault="00706E04" w:rsidP="00706E04">
      <w:pPr>
        <w:spacing w:after="120"/>
        <w:jc w:val="both"/>
      </w:pPr>
      <w:r w:rsidRPr="00706E04">
        <w:t>Uz ekonomsku i programsku klasifikaciju, proračunski i izvanproračunski korisnici jedinica lokalne i područne (regionalne) samouprave u izradi financijskog plana primjenjuju i klasifikaciju po izvorima financiranja.</w:t>
      </w:r>
    </w:p>
    <w:p w:rsidR="00706E04" w:rsidRPr="00706E04" w:rsidRDefault="00706E04" w:rsidP="00706E04">
      <w:pPr>
        <w:spacing w:after="120"/>
        <w:jc w:val="both"/>
      </w:pPr>
      <w:r w:rsidRPr="00706E04">
        <w:t xml:space="preserve">Izvori financiranja predstavljaju skupine prihoda i primitaka iz kojih se podmiruju rashodi i izdaci određene vrste i utvrđene namjene. Osnovni izvori financiranja jesu: </w:t>
      </w:r>
    </w:p>
    <w:p w:rsidR="00706E04" w:rsidRPr="00706E04" w:rsidRDefault="00706E04" w:rsidP="00706E04">
      <w:pPr>
        <w:spacing w:after="120"/>
      </w:pPr>
      <w:r w:rsidRPr="00706E04">
        <w:t xml:space="preserve">1. Opći prihodi i primici </w:t>
      </w:r>
    </w:p>
    <w:p w:rsidR="00706E04" w:rsidRPr="00706E04" w:rsidRDefault="00706E04" w:rsidP="00706E04">
      <w:pPr>
        <w:spacing w:after="120"/>
      </w:pPr>
      <w:r w:rsidRPr="00706E04">
        <w:t xml:space="preserve">2. Vlastiti prihodi </w:t>
      </w:r>
    </w:p>
    <w:p w:rsidR="00706E04" w:rsidRPr="00706E04" w:rsidRDefault="00706E04" w:rsidP="00706E04">
      <w:pPr>
        <w:spacing w:after="120"/>
      </w:pPr>
      <w:r w:rsidRPr="00706E04">
        <w:t xml:space="preserve">3. Prihodi za posebne namjene </w:t>
      </w:r>
    </w:p>
    <w:p w:rsidR="00706E04" w:rsidRPr="00706E04" w:rsidRDefault="00706E04" w:rsidP="00706E04">
      <w:pPr>
        <w:spacing w:after="120"/>
      </w:pPr>
      <w:r w:rsidRPr="00706E04">
        <w:t xml:space="preserve">4. Pomoći </w:t>
      </w:r>
    </w:p>
    <w:p w:rsidR="00706E04" w:rsidRPr="00706E04" w:rsidRDefault="00706E04" w:rsidP="00706E04">
      <w:pPr>
        <w:spacing w:after="120"/>
      </w:pPr>
      <w:r w:rsidRPr="00706E04">
        <w:t xml:space="preserve">5. Donacije </w:t>
      </w:r>
    </w:p>
    <w:p w:rsidR="00706E04" w:rsidRPr="00706E04" w:rsidRDefault="00706E04" w:rsidP="00706E04">
      <w:pPr>
        <w:spacing w:after="120"/>
      </w:pPr>
      <w:r w:rsidRPr="00706E04">
        <w:t xml:space="preserve">6. Prihodi od prodaje ili zamjene nefinancijske imovine i naknade s naslova osiguranja i  </w:t>
      </w:r>
    </w:p>
    <w:p w:rsidR="00706E04" w:rsidRPr="00706E04" w:rsidRDefault="00706E04" w:rsidP="00706E04">
      <w:pPr>
        <w:spacing w:after="120"/>
      </w:pPr>
      <w:r w:rsidRPr="00706E04">
        <w:t xml:space="preserve">7. Namjenski primici. </w:t>
      </w:r>
    </w:p>
    <w:p w:rsidR="00706E04" w:rsidRPr="00706E04" w:rsidRDefault="00706E04" w:rsidP="00706E04">
      <w:pPr>
        <w:spacing w:after="120"/>
        <w:jc w:val="both"/>
      </w:pPr>
      <w:r w:rsidRPr="00706E04">
        <w:t xml:space="preserve">1. Izvor financiranja opći prihodi i primici proračun uključuje prihode od poreza, prihode od financijske imovine, prihode od nefinancijske imovine, prihode od administrativnih (upravnih) pristojbi i prihode od kazni. Izvor financiranja – opći prihodi i primici proračunski korisnik uključuje prihode koje ostvari iz nadležnog proračuna, a koje planira u okviru podskupine 671 Prihodi iz nadležnog proračuna za financiranje redovne djelatnosti proračunskih korisnika. </w:t>
      </w:r>
    </w:p>
    <w:p w:rsidR="00706E04" w:rsidRPr="00706E04" w:rsidRDefault="00706E04" w:rsidP="00706E04">
      <w:pPr>
        <w:spacing w:after="120"/>
        <w:jc w:val="both"/>
      </w:pPr>
      <w:r w:rsidRPr="00706E04">
        <w:t xml:space="preserve">2. Izvor financiranja vlastiti prihodi čine prihodi koje korisnik ostvari obavljanjem poslova na tržištu i u tržišnim uvjetima, a koje mogu obavljati i drugi pravni subjekti izvan općeg proračuna. Vlastiti prihodi iskazuju se u okviru podskupine 661 Prihodi od prodaje proizvoda i robe te pruženih usluga. </w:t>
      </w:r>
    </w:p>
    <w:p w:rsidR="00706E04" w:rsidRPr="00706E04" w:rsidRDefault="00706E04" w:rsidP="00706E04">
      <w:pPr>
        <w:spacing w:after="120"/>
        <w:jc w:val="both"/>
      </w:pPr>
      <w:r w:rsidRPr="00706E04">
        <w:t xml:space="preserve">3. Izvor financiranja prihodi za posebne namjene čine prihodi čije su korištenje i namjena utvrđeni posebnim zakonima i propisima. Primjeri takvih prihoda jesu: komunalna naknada, spomenička renta, vodni doprinos, doprinos za šume i ostali. </w:t>
      </w:r>
    </w:p>
    <w:p w:rsidR="00706E04" w:rsidRPr="00706E04" w:rsidRDefault="00706E04" w:rsidP="00706E04">
      <w:pPr>
        <w:spacing w:after="120"/>
        <w:jc w:val="both"/>
      </w:pPr>
      <w:r w:rsidRPr="00706E04">
        <w:t xml:space="preserve">4. Izvor financiranja pomoći čine prihodi ostvareni od inozemnih vlada, od međunarodnih organizacija te institucija i tijela EU, prihodi iz drugih/nenadležnih proračuna, od izvanproračunskih korisnika, iz državnog proračuna temeljem prijenosa EU sredstava. </w:t>
      </w:r>
    </w:p>
    <w:p w:rsidR="00706E04" w:rsidRPr="00706E04" w:rsidRDefault="00706E04" w:rsidP="00706E04">
      <w:pPr>
        <w:spacing w:after="120"/>
        <w:jc w:val="both"/>
      </w:pPr>
      <w:r w:rsidRPr="00706E04">
        <w:t xml:space="preserve">5. Izvor financiranja donacije čine prihodi ostvareni od fizičkih osoba, neprofitnih organizacija, trgovačkih društava i od ostalih subjekata izvan općeg proračuna. Proračunski korisnici ne mogu planirati donacije (skupina 663) od drugih proračuna i proračunskih korisnika. </w:t>
      </w:r>
    </w:p>
    <w:p w:rsidR="00706E04" w:rsidRPr="00706E04" w:rsidRDefault="00706E04" w:rsidP="00706E04">
      <w:pPr>
        <w:spacing w:after="120"/>
        <w:jc w:val="both"/>
      </w:pPr>
      <w:r w:rsidRPr="00706E04">
        <w:lastRenderedPageBreak/>
        <w:t xml:space="preserve">6. Izvor financiranja prihodi od prodaje ili zamjene nefinancijske imovine i naknade s naslova osiguranja čine prihodi ostvareni prodajom ili zamjenom nefinancijske imovine i od naknade štete s osnove osiguranja, a mogu se koristiti za kapitalne rashode, za ulaganja u dionice i udjele trgovačkih društava te za otplate glavnice temeljem dugoročnog zaduživanja. Kapitalni rashodi jesu: rashodi za nabavu nefinancijske imovine, rashodi za održavanje nefinancijske imovine, kapitalne pomoći koje se daju trgovačkim društvima u kojima država, odnosno jedinica lokalne i područne (regionalne) samouprave ima odlučujući utjecaj na upravljanje za nabavu nefinancijske imovine i dodatna ulaganja u nefinancijsku imovinu. </w:t>
      </w:r>
    </w:p>
    <w:p w:rsidR="00706E04" w:rsidRPr="00706E04" w:rsidRDefault="00706E04" w:rsidP="00706E04">
      <w:pPr>
        <w:spacing w:after="120"/>
        <w:jc w:val="both"/>
      </w:pPr>
      <w:r w:rsidRPr="00706E04">
        <w:t xml:space="preserve">7. Izvor financiranja namjenski primici čine primici od financijske imovine i zaduživanja, čija je namjena utvrđena posebnim ugovorima i/ili propisima. </w:t>
      </w:r>
    </w:p>
    <w:p w:rsidR="00706E04" w:rsidRPr="00706E04" w:rsidRDefault="00706E04" w:rsidP="00706E04">
      <w:pPr>
        <w:spacing w:after="120"/>
        <w:rPr>
          <w:b/>
        </w:rPr>
      </w:pPr>
      <w:r w:rsidRPr="00706E04">
        <w:rPr>
          <w:b/>
        </w:rPr>
        <w:t xml:space="preserve"> Prijedlog plana rashoda i izdataka </w:t>
      </w:r>
    </w:p>
    <w:p w:rsidR="00706E04" w:rsidRPr="00706E04" w:rsidRDefault="00706E04" w:rsidP="00706E04">
      <w:pPr>
        <w:spacing w:after="120"/>
        <w:jc w:val="both"/>
      </w:pPr>
      <w:r w:rsidRPr="00706E04">
        <w:t>Proračunski korisnici jedinica lokalne i područne (regionalne) samouprave obvezni su izraditi prijedlog plana rashoda i izdataka za razdoblje 202</w:t>
      </w:r>
      <w:r w:rsidR="00D66747">
        <w:t>2</w:t>
      </w:r>
      <w:r w:rsidRPr="00706E04">
        <w:t>. – 202</w:t>
      </w:r>
      <w:r w:rsidR="00D66747">
        <w:t>4</w:t>
      </w:r>
      <w:r w:rsidRPr="00706E04">
        <w:t xml:space="preserve">. razvrstane prema proračunskim klasifikacijama u skladu s Pravilnikom o proračunskim klasifikacijama i Pravilnikom o proračunskom računovodstvu i Računskom planu. </w:t>
      </w:r>
    </w:p>
    <w:p w:rsidR="00706E04" w:rsidRPr="00706E04" w:rsidRDefault="00706E04" w:rsidP="00706E04">
      <w:pPr>
        <w:spacing w:after="120"/>
        <w:jc w:val="both"/>
      </w:pPr>
      <w:r w:rsidRPr="00706E04">
        <w:t xml:space="preserve">Jedinstveni upravni odjel Općine </w:t>
      </w:r>
      <w:r w:rsidR="00D66747">
        <w:t>Kalnik</w:t>
      </w:r>
      <w:r w:rsidRPr="00706E04">
        <w:t xml:space="preserve"> utvrdio je </w:t>
      </w:r>
      <w:r w:rsidRPr="00706E04">
        <w:rPr>
          <w:b/>
          <w:bCs/>
        </w:rPr>
        <w:t>Program 10</w:t>
      </w:r>
      <w:r w:rsidR="00D66747">
        <w:rPr>
          <w:b/>
          <w:bCs/>
        </w:rPr>
        <w:t>6</w:t>
      </w:r>
      <w:r w:rsidRPr="00706E04">
        <w:rPr>
          <w:b/>
          <w:bCs/>
        </w:rPr>
        <w:t xml:space="preserve"> Javne potrebe u </w:t>
      </w:r>
      <w:r w:rsidR="00D66747">
        <w:rPr>
          <w:b/>
          <w:bCs/>
        </w:rPr>
        <w:t>predškolskom odgoju</w:t>
      </w:r>
      <w:r w:rsidRPr="00706E04">
        <w:t xml:space="preserve"> te Aktivnost A 10</w:t>
      </w:r>
      <w:r w:rsidR="00D66747">
        <w:t>6</w:t>
      </w:r>
      <w:r w:rsidRPr="00706E04">
        <w:t>00</w:t>
      </w:r>
      <w:r w:rsidR="00D66747">
        <w:t>1</w:t>
      </w:r>
      <w:r w:rsidRPr="00706E04">
        <w:t xml:space="preserve"> </w:t>
      </w:r>
      <w:r w:rsidR="00D66747">
        <w:t>Provođenje programa dječjeg vrtića i male škole</w:t>
      </w:r>
      <w:r w:rsidRPr="00706E04">
        <w:t>, koji će se koristiti za potrebe plana proračunskog korisnika (</w:t>
      </w:r>
      <w:r w:rsidR="00D66747">
        <w:t>dječjeg vrtića</w:t>
      </w:r>
      <w:r w:rsidRPr="00706E04">
        <w:t>).</w:t>
      </w:r>
    </w:p>
    <w:p w:rsidR="00706E04" w:rsidRPr="00706E04" w:rsidRDefault="00706E04" w:rsidP="00706E04">
      <w:pPr>
        <w:spacing w:after="120"/>
        <w:jc w:val="both"/>
      </w:pPr>
      <w:r w:rsidRPr="00706E04">
        <w:t xml:space="preserve">Općinsko vijeće </w:t>
      </w:r>
      <w:r w:rsidR="00D66747">
        <w:t>Kalnik</w:t>
      </w:r>
      <w:r w:rsidRPr="00706E04">
        <w:t xml:space="preserve"> daje suglasnost na prijedlog financijskog plana</w:t>
      </w:r>
      <w:r w:rsidR="00D66747">
        <w:t xml:space="preserve"> Dječjeg vrtića „Kalnički jaglac“</w:t>
      </w:r>
      <w:r w:rsidRPr="00706E04">
        <w:t xml:space="preserve">   do kraja godine, kako bi se od 1. siječnja 202</w:t>
      </w:r>
      <w:r w:rsidR="00D66747">
        <w:t>2</w:t>
      </w:r>
      <w:r w:rsidRPr="00706E04">
        <w:t xml:space="preserve">. mogle preuzimati i izvršavati obveze. </w:t>
      </w:r>
    </w:p>
    <w:p w:rsidR="00706E04" w:rsidRPr="00706E04" w:rsidRDefault="00706E04" w:rsidP="00706E04">
      <w:pPr>
        <w:spacing w:after="120"/>
        <w:jc w:val="both"/>
      </w:pPr>
      <w:r w:rsidRPr="00706E04">
        <w:t>Temeljem zahtjeva nadležne lokalne jedinice proračunski korisnik može izrađivati i prijedlog financijskog plana na razini odjeljka (četvrta razina računskog plana), međutim upravno vijeće ili drugo upravljačko tijelo obvezno je usvojiti financijski plan korisnika, a predstavničko tijelo proračun za 202</w:t>
      </w:r>
      <w:r w:rsidR="00D66747">
        <w:t>2</w:t>
      </w:r>
      <w:r w:rsidRPr="00706E04">
        <w:t>. godinu na razini podskupine (treća razina računskog plana), a projekcije za 202</w:t>
      </w:r>
      <w:r w:rsidR="00D66747">
        <w:t>3</w:t>
      </w:r>
      <w:r w:rsidRPr="00706E04">
        <w:t>. i 202</w:t>
      </w:r>
      <w:r w:rsidR="00D66747">
        <w:t>4</w:t>
      </w:r>
      <w:r w:rsidRPr="00706E04">
        <w:t xml:space="preserve">. godinu na razini skupine (druga razina računskog plana). </w:t>
      </w:r>
    </w:p>
    <w:p w:rsidR="00706E04" w:rsidRPr="00706E04" w:rsidRDefault="00706E04" w:rsidP="00706E04">
      <w:pPr>
        <w:spacing w:after="120"/>
        <w:jc w:val="both"/>
      </w:pPr>
      <w:r w:rsidRPr="00706E04">
        <w:t>Upravno tijelo nadležno za proračunske korisnike obvezno je planirati rashode za zaposlene i materijalne rashode svojih korisnika proračuna u okviru skupine računa 31 i 32, a ne na računima podskupine 363 (pomoći unutar općeg proračuna), niti u okviru podskupine 381 (tekuće donacije) i podskupine 382 (kapitalne donacije). Na ovim podskupinama planiraju se rashodi za financiranje drugih subjekta (neprofitne organizacije, trgovačka društva, fizičke osobe) koje proračun financira na dobrovoljnoj bazi, sukladno svojim financijskim mogućnostima. Također, račun odjeljka 367 (prijenosi proračunskim korisnicima iz nadležnog proračuna za financiranje redovne djelatnosti) ne koristi se u procesu planiranja.</w:t>
      </w:r>
    </w:p>
    <w:p w:rsidR="00706E04" w:rsidRPr="00706E04" w:rsidRDefault="00706E04" w:rsidP="00706E04">
      <w:pPr>
        <w:spacing w:after="120"/>
        <w:rPr>
          <w:b/>
        </w:rPr>
      </w:pPr>
      <w:r w:rsidRPr="00706E04">
        <w:t xml:space="preserve"> </w:t>
      </w:r>
      <w:r w:rsidRPr="00706E04">
        <w:rPr>
          <w:b/>
        </w:rPr>
        <w:t>Obrazloženje financijskog plana</w:t>
      </w:r>
    </w:p>
    <w:p w:rsidR="00706E04" w:rsidRPr="00706E04" w:rsidRDefault="00706E04" w:rsidP="00706E04">
      <w:pPr>
        <w:spacing w:after="120"/>
        <w:jc w:val="both"/>
      </w:pPr>
      <w:r w:rsidRPr="00706E04">
        <w:t xml:space="preserve">Obrazloženje financijskog plana proračunskog korisnika je podloga za analiziranje rezultata (učinaka) i oblikovanje budućih ciljeva, usmjeravanje djelovanja proračunskog korisnika te osnova za utvrđivanje odgovornosti. U skladu s člankom 30. Zakona o proračunu proračunski korisnici su dužni uz prijedlog financijskog plana izraditi i dostaviti obrazloženje prijedloga financijskog plana. </w:t>
      </w:r>
    </w:p>
    <w:p w:rsidR="00706E04" w:rsidRPr="00706E04" w:rsidRDefault="00706E04" w:rsidP="00706E04">
      <w:pPr>
        <w:spacing w:after="120"/>
        <w:jc w:val="both"/>
      </w:pPr>
      <w:r w:rsidRPr="00706E04">
        <w:t>Uvođenjem srednjoročnog fiskalnog okvira i programskog planiranja u skladu s najboljom europskom praksom naglasak se stavlja na rezultate koji se postižu provedbom programa, aktivnosti i projekata, umjesto na vrstu i visinu troškova. Time se zahtijeva preuzimanje odgovornosti za rezultate provedbe programa (i aktivnosti i projekata) od jedinica lokalne i područne (regionalne) samouprave i njihovih proračunskih korisnika.</w:t>
      </w:r>
    </w:p>
    <w:p w:rsidR="00706E04" w:rsidRPr="00706E04" w:rsidRDefault="00706E04" w:rsidP="00706E04">
      <w:pPr>
        <w:spacing w:after="120"/>
        <w:jc w:val="both"/>
        <w:rPr>
          <w:color w:val="000000"/>
        </w:rPr>
      </w:pPr>
      <w:r w:rsidRPr="00706E04">
        <w:rPr>
          <w:color w:val="000000"/>
        </w:rPr>
        <w:lastRenderedPageBreak/>
        <w:t xml:space="preserve">Upravo stoga obrazloženje postaje sve značajniji dio samog financijskog plana na što ukazuje i pitanje iz Upitnika o fiskalnoj odgovornosti: „Obrazloženje financijskog plana proračunskog korisnika državnog proračuna i proračunskog korisnika jedinice lokalne i područne (regionalne) samouprave sadrži sažetak djelokruga rada proračunskog korisnika, obrazložene programe, zakonske i druge podloge na kojima se zasnivaju programi, usklađene ciljeve, strategiju i programe  s dokumentima dugoročnog razvoja, ishodište i pokazatelje na kojima se zasnivaju izračuni i ocjene potrebnih sredstava za provođenje programa, izvještaj o postignutim ciljevima i rezultatima programa temeljenim na pokazateljima uspješnosti iz nadležnosti proračunskog korisnika u prethodnoj godini te ostala obrazloženja i dokumentaciju.“ </w:t>
      </w:r>
    </w:p>
    <w:p w:rsidR="00706E04" w:rsidRPr="00706E04" w:rsidRDefault="00706E04" w:rsidP="00706E04">
      <w:pPr>
        <w:spacing w:after="120"/>
      </w:pPr>
      <w:r w:rsidRPr="00706E04">
        <w:t xml:space="preserve">Obrazloženje prijedloga financijskog plana sadrži: </w:t>
      </w:r>
    </w:p>
    <w:p w:rsidR="00706E04" w:rsidRPr="00706E04" w:rsidRDefault="00706E04" w:rsidP="00706E04">
      <w:pPr>
        <w:pStyle w:val="Odlomakpopisa"/>
        <w:numPr>
          <w:ilvl w:val="0"/>
          <w:numId w:val="15"/>
        </w:numPr>
        <w:spacing w:after="120"/>
      </w:pPr>
      <w:r w:rsidRPr="00706E04">
        <w:t xml:space="preserve">sažetak djelokruga rada proračunskog korisnika - obrazložene programe </w:t>
      </w:r>
    </w:p>
    <w:p w:rsidR="00706E04" w:rsidRPr="00706E04" w:rsidRDefault="00706E04" w:rsidP="00706E04">
      <w:pPr>
        <w:pStyle w:val="Odlomakpopisa"/>
        <w:numPr>
          <w:ilvl w:val="0"/>
          <w:numId w:val="15"/>
        </w:numPr>
        <w:spacing w:after="120"/>
      </w:pPr>
      <w:r w:rsidRPr="00706E04">
        <w:t xml:space="preserve">zakonske i druge podloge na kojima se zasnivaju programi </w:t>
      </w:r>
    </w:p>
    <w:p w:rsidR="00706E04" w:rsidRPr="00706E04" w:rsidRDefault="00706E04" w:rsidP="00706E04">
      <w:pPr>
        <w:pStyle w:val="Odlomakpopisa"/>
        <w:numPr>
          <w:ilvl w:val="0"/>
          <w:numId w:val="15"/>
        </w:numPr>
        <w:spacing w:after="120"/>
      </w:pPr>
      <w:r w:rsidRPr="00706E04">
        <w:t xml:space="preserve">usklađene ciljeve, strategiju i programe s dokumentima dugoročnog razvoja </w:t>
      </w:r>
    </w:p>
    <w:p w:rsidR="00706E04" w:rsidRPr="00706E04" w:rsidRDefault="00706E04" w:rsidP="00706E04">
      <w:pPr>
        <w:pStyle w:val="Odlomakpopisa"/>
        <w:numPr>
          <w:ilvl w:val="0"/>
          <w:numId w:val="15"/>
        </w:numPr>
        <w:spacing w:after="120"/>
      </w:pPr>
      <w:r w:rsidRPr="00706E04">
        <w:t xml:space="preserve">ishodište i pokazatelje na kojima se zasnivaju izračuni i ocjene potrebnih sredstava za provođenje programa </w:t>
      </w:r>
    </w:p>
    <w:p w:rsidR="00706E04" w:rsidRPr="00706E04" w:rsidRDefault="00706E04" w:rsidP="00706E04">
      <w:pPr>
        <w:pStyle w:val="Odlomakpopisa"/>
        <w:numPr>
          <w:ilvl w:val="0"/>
          <w:numId w:val="15"/>
        </w:numPr>
        <w:spacing w:after="120"/>
      </w:pPr>
      <w:r w:rsidRPr="00706E04">
        <w:t>izvještaj o postignutim ciljevima i rezultatima programa temeljenim na pokazateljima uspješnosti iz nadležnosti proračunskog korisnika u prethodnoj godini</w:t>
      </w:r>
    </w:p>
    <w:p w:rsidR="00706E04" w:rsidRPr="00706E04" w:rsidRDefault="00706E04" w:rsidP="00706E04">
      <w:pPr>
        <w:pStyle w:val="Odlomakpopisa"/>
        <w:numPr>
          <w:ilvl w:val="0"/>
          <w:numId w:val="15"/>
        </w:numPr>
        <w:spacing w:after="120"/>
      </w:pPr>
      <w:r w:rsidRPr="00706E04">
        <w:t xml:space="preserve">ostala obrazloženja i dokumentaciju. </w:t>
      </w:r>
    </w:p>
    <w:p w:rsidR="00706E04" w:rsidRPr="00706E04" w:rsidRDefault="00706E04" w:rsidP="00706E04">
      <w:pPr>
        <w:spacing w:after="120"/>
        <w:jc w:val="both"/>
      </w:pPr>
      <w:r w:rsidRPr="00706E04">
        <w:t xml:space="preserve">Budući da se financijski plan, odnosno proračun čiji se posebni dio sastoji od financijskih planova proračunskih korisnika, usvaja za trogodišnje razdoblje važno je kroz obrazloženje postići da proračunski dokumenti pažljivo objašnjavaju, od godine do godine, kako su procjene proračunskih stavki i višegodišnje procjene povezane s višegodišnjim procjenama iz prethodne godine. </w:t>
      </w:r>
    </w:p>
    <w:p w:rsidR="00706E04" w:rsidRPr="00706E04" w:rsidRDefault="00706E04" w:rsidP="00706E04">
      <w:pPr>
        <w:spacing w:after="120"/>
        <w:jc w:val="both"/>
      </w:pPr>
      <w:r w:rsidRPr="00706E04">
        <w:t xml:space="preserve">Dakle, odstupanja od onog što je prethodne godine projicirano za 2021. i 2022., odnosno što je već usvojeno prethodne godine, ali na manje razrađenoj razini, potrebno je u ovome dijelu obrazložiti navodeći zbog čega dolazi do razlika u odnosu na projekcije usvojene prethodne godine. </w:t>
      </w:r>
    </w:p>
    <w:p w:rsidR="00706E04" w:rsidRPr="00706E04" w:rsidRDefault="00706E04" w:rsidP="00706E04">
      <w:pPr>
        <w:spacing w:after="120"/>
        <w:jc w:val="both"/>
      </w:pPr>
      <w:r w:rsidRPr="00706E04">
        <w:t xml:space="preserve">Program je skup neovisnih, usko povezanih aktivnosti i projekata usmjerenih ispunjenju zajedničkoga cilja. Proračun po programima usredotočen je na rezultate svakog programa jer omogućava praćenje rashoda i izdataka vezanih uz provedbu programa. Proračun po programima prezentira javnosti, predstavničkim i izvršnim tijelima ciljeve i proračunska sredstva osigurana za provedbu zadanih ciljeva te rezultate provedbe planiranih programa. Mjerenje rezultata programa osigurava jasniju i učinkovitiju dodjelu sredstava. Prilikom izrade obrazloženja naglasak je potrebno staviti na ciljeve koji se programima namjeravaju postići i pokazatelje uspješnosti realizacije tih ciljeva. </w:t>
      </w:r>
    </w:p>
    <w:p w:rsidR="00706E04" w:rsidRPr="00706E04" w:rsidRDefault="00706E04" w:rsidP="00706E04">
      <w:pPr>
        <w:spacing w:after="120"/>
      </w:pPr>
      <w:r w:rsidRPr="00706E04">
        <w:t xml:space="preserve">Obrazloženje cilja nekog programa mora odgovoriti na sljedeća pitanja: </w:t>
      </w:r>
    </w:p>
    <w:p w:rsidR="00706E04" w:rsidRPr="00706E04" w:rsidRDefault="00706E04" w:rsidP="00706E04">
      <w:pPr>
        <w:pStyle w:val="Odlomakpopisa"/>
        <w:numPr>
          <w:ilvl w:val="0"/>
          <w:numId w:val="16"/>
        </w:numPr>
        <w:spacing w:after="120"/>
      </w:pPr>
      <w:r w:rsidRPr="00706E04">
        <w:t xml:space="preserve">što se ovim programom želi postići, </w:t>
      </w:r>
    </w:p>
    <w:p w:rsidR="00706E04" w:rsidRPr="00706E04" w:rsidRDefault="00706E04" w:rsidP="00706E04">
      <w:pPr>
        <w:pStyle w:val="Odlomakpopisa"/>
        <w:numPr>
          <w:ilvl w:val="0"/>
          <w:numId w:val="16"/>
        </w:numPr>
        <w:spacing w:after="120"/>
      </w:pPr>
      <w:r w:rsidRPr="00706E04">
        <w:t xml:space="preserve">kako se nastoji realizirati program i </w:t>
      </w:r>
    </w:p>
    <w:p w:rsidR="00706E04" w:rsidRPr="00706E04" w:rsidRDefault="00706E04" w:rsidP="00706E04">
      <w:pPr>
        <w:pStyle w:val="Odlomakpopisa"/>
        <w:numPr>
          <w:ilvl w:val="0"/>
          <w:numId w:val="16"/>
        </w:numPr>
        <w:spacing w:after="120"/>
      </w:pPr>
      <w:r w:rsidRPr="00706E04">
        <w:t xml:space="preserve">tko je korisnik ili primatelj usluge. </w:t>
      </w:r>
    </w:p>
    <w:p w:rsidR="00706E04" w:rsidRPr="00706E04" w:rsidRDefault="00706E04" w:rsidP="00706E04">
      <w:pPr>
        <w:pStyle w:val="Bezproreda"/>
        <w:spacing w:after="120" w:line="276" w:lineRule="auto"/>
        <w:rPr>
          <w:rFonts w:asciiTheme="minorHAnsi" w:hAnsiTheme="minorHAnsi"/>
        </w:rPr>
      </w:pPr>
      <w:r w:rsidRPr="00706E04">
        <w:rPr>
          <w:rFonts w:asciiTheme="minorHAnsi" w:hAnsiTheme="minorHAnsi"/>
        </w:rPr>
        <w:t>U opisu programa i njihovih ciljeva važno je istaknuti uštede do kojih će dovesti realizacija utvrđenih ciljeva, a moguće je dodati i objašnjenje posljedica koje bi nastale u slučaju neprovedbe ovoga programa ili neprovedbe u predloženom obuhvatu ili predviđenom razdoblju.</w:t>
      </w:r>
    </w:p>
    <w:p w:rsidR="00706E04" w:rsidRPr="00706E04" w:rsidRDefault="00706E04" w:rsidP="00706E04">
      <w:pPr>
        <w:pStyle w:val="Bezproreda"/>
        <w:spacing w:after="120" w:line="276" w:lineRule="auto"/>
        <w:jc w:val="both"/>
        <w:rPr>
          <w:rFonts w:asciiTheme="minorHAnsi" w:hAnsiTheme="minorHAnsi"/>
        </w:rPr>
      </w:pPr>
      <w:r w:rsidRPr="00706E04">
        <w:rPr>
          <w:rFonts w:asciiTheme="minorHAnsi" w:hAnsiTheme="minorHAnsi"/>
        </w:rPr>
        <w:t xml:space="preserve">U okviru procjene potrebnih sredstava potrebno je navesti ishodište i pokazatelje na kojima se zasnivaju izračuni i ocjene potrebnih sredstava za provođenje programa, odnosno aktivnosti/projekata. </w:t>
      </w:r>
    </w:p>
    <w:p w:rsidR="00706E04" w:rsidRPr="00706E04" w:rsidRDefault="00706E04" w:rsidP="00706E04">
      <w:pPr>
        <w:pStyle w:val="Bezproreda"/>
        <w:spacing w:after="120" w:line="276" w:lineRule="auto"/>
        <w:rPr>
          <w:rFonts w:asciiTheme="minorHAnsi" w:hAnsiTheme="minorHAnsi"/>
        </w:rPr>
      </w:pPr>
    </w:p>
    <w:p w:rsidR="00706E04" w:rsidRPr="00706E04" w:rsidRDefault="00706E04" w:rsidP="00706E04">
      <w:pPr>
        <w:pStyle w:val="Bezproreda"/>
        <w:spacing w:after="120" w:line="276" w:lineRule="auto"/>
        <w:jc w:val="both"/>
        <w:rPr>
          <w:rFonts w:asciiTheme="minorHAnsi" w:hAnsiTheme="minorHAnsi"/>
        </w:rPr>
      </w:pPr>
      <w:r w:rsidRPr="00706E04">
        <w:rPr>
          <w:rFonts w:asciiTheme="minorHAnsi" w:hAnsiTheme="minorHAnsi"/>
        </w:rPr>
        <w:lastRenderedPageBreak/>
        <w:t xml:space="preserve">Dakle, kako bi se pratilo ostvarenje ciljeva programa za trogodišnje razdoblje potrebno je definirati pokazatelje uspješnosti. Pokazatelji uspješnosti predstavljaju podlogu za mjerenje učinkovitosti provedbe programa. Dobri pokazatelji trebaju biti: </w:t>
      </w:r>
    </w:p>
    <w:p w:rsidR="00706E04" w:rsidRPr="00706E04" w:rsidRDefault="00706E04" w:rsidP="00706E04">
      <w:pPr>
        <w:pStyle w:val="Odlomakpopisa"/>
        <w:numPr>
          <w:ilvl w:val="0"/>
          <w:numId w:val="17"/>
        </w:numPr>
        <w:spacing w:after="120"/>
      </w:pPr>
      <w:r w:rsidRPr="00706E04">
        <w:t xml:space="preserve">specifični – da zaista mjere ono što treba mjeriti, </w:t>
      </w:r>
    </w:p>
    <w:p w:rsidR="00706E04" w:rsidRPr="00706E04" w:rsidRDefault="00706E04" w:rsidP="00706E04">
      <w:pPr>
        <w:pStyle w:val="Odlomakpopisa"/>
        <w:numPr>
          <w:ilvl w:val="0"/>
          <w:numId w:val="17"/>
        </w:numPr>
        <w:spacing w:after="120"/>
      </w:pPr>
      <w:r w:rsidRPr="00706E04">
        <w:t xml:space="preserve">mjerljivi – u pogledu kvalitete i/ili količine, </w:t>
      </w:r>
    </w:p>
    <w:p w:rsidR="00706E04" w:rsidRPr="00706E04" w:rsidRDefault="00706E04" w:rsidP="00706E04">
      <w:pPr>
        <w:pStyle w:val="Odlomakpopisa"/>
        <w:numPr>
          <w:ilvl w:val="0"/>
          <w:numId w:val="17"/>
        </w:numPr>
        <w:spacing w:after="120"/>
      </w:pPr>
      <w:r w:rsidRPr="00706E04">
        <w:t>dostupni – u okviru prihvatljivih troškova,</w:t>
      </w:r>
    </w:p>
    <w:p w:rsidR="00706E04" w:rsidRPr="00706E04" w:rsidRDefault="00706E04" w:rsidP="00706E04">
      <w:pPr>
        <w:pStyle w:val="Odlomakpopisa"/>
        <w:numPr>
          <w:ilvl w:val="0"/>
          <w:numId w:val="17"/>
        </w:numPr>
        <w:spacing w:after="120"/>
      </w:pPr>
      <w:r w:rsidRPr="00706E04">
        <w:t xml:space="preserve">relevantni – u odnosu na definirani cilj i </w:t>
      </w:r>
    </w:p>
    <w:p w:rsidR="00706E04" w:rsidRPr="00706E04" w:rsidRDefault="00706E04" w:rsidP="00706E04">
      <w:pPr>
        <w:pStyle w:val="Odlomakpopisa"/>
        <w:numPr>
          <w:ilvl w:val="0"/>
          <w:numId w:val="17"/>
        </w:numPr>
        <w:spacing w:after="120"/>
      </w:pPr>
      <w:r w:rsidRPr="00706E04">
        <w:t>vremenski određeni – da se definirani ciljevi izvrše u zadanom vremenskom roku.</w:t>
      </w:r>
    </w:p>
    <w:p w:rsidR="00706E04" w:rsidRPr="00706E04" w:rsidRDefault="00706E04" w:rsidP="00706E04">
      <w:pPr>
        <w:spacing w:after="120"/>
        <w:jc w:val="both"/>
      </w:pPr>
      <w:r w:rsidRPr="00706E04">
        <w:t xml:space="preserve"> Glavna karakteristika pokazatelja uspješnosti je mjerljivost stoga ih je potrebno brojčano iskazati ili jasno i nedvosmisleno izraziti. Isti će omogućiti praćenje i izvještavanje o napretku i ostvarenju zadanih programa.</w:t>
      </w:r>
    </w:p>
    <w:p w:rsidR="00706E04" w:rsidRDefault="00706E04" w:rsidP="00706E04">
      <w:pPr>
        <w:spacing w:after="120"/>
        <w:jc w:val="both"/>
      </w:pPr>
      <w:r w:rsidRPr="00706E04">
        <w:t xml:space="preserve"> U obrazloženju financijskog plana koriste se dvije vrste pokazatelja: pokazatelj učinka (outcome) i pokazatelj rezultata (output). Pokazatelj učinka treba dati informaciju o učinkovitosti, dugoročnim rezultatima te društvenim promjenama koje se postižu ostvarenjem cilja. Jedan od takvih pokazatelja je primjerice postizanje višeg stupnja pismenosti. Ovakve pokazatelje je teže utvrditi zato se za početak preporuča utvrđivanje pokazatelja rezultata. Ovi pokazatelji odnose se na proizvedena dobra i usluge unutar aktivnosti/projekta i orijentirani su prema konkretnom rezultatu. </w:t>
      </w:r>
    </w:p>
    <w:p w:rsidR="00FB6D7F" w:rsidRDefault="00FB6D7F" w:rsidP="00706E04">
      <w:pPr>
        <w:spacing w:after="120"/>
        <w:jc w:val="both"/>
      </w:pPr>
    </w:p>
    <w:p w:rsidR="00FB6D7F" w:rsidRPr="00FB6D7F" w:rsidRDefault="00FB6D7F" w:rsidP="00FB6D7F">
      <w:pPr>
        <w:jc w:val="both"/>
        <w:rPr>
          <w:b/>
        </w:rPr>
      </w:pPr>
      <w:r>
        <w:rPr>
          <w:b/>
        </w:rPr>
        <w:t xml:space="preserve">6.   </w:t>
      </w:r>
      <w:r w:rsidRPr="00FB6D7F">
        <w:rPr>
          <w:b/>
        </w:rPr>
        <w:t>PLANIRANJE VIŠKOVA/MANJKOVA IZ PRETHODNIH GODINA</w:t>
      </w:r>
    </w:p>
    <w:p w:rsidR="00FB6D7F" w:rsidRDefault="00FB6D7F" w:rsidP="00FB6D7F">
      <w:pPr>
        <w:jc w:val="both"/>
      </w:pPr>
      <w:r>
        <w:t>Financijski plan proračunskog i izvanproračunskog korisnika treba biti uravnotežen. Izuzev prihoda i rashoda (korisnici najčešće nemaju primitaka i izdataka), u financijski plan je potrebno uključiti i predviđeni manjak, odnosno višak prihoda te s navedenim bilančnim kategorijama postići uravnoteženje.</w:t>
      </w:r>
    </w:p>
    <w:p w:rsidR="00FB6D7F" w:rsidRDefault="00FB6D7F" w:rsidP="00FB6D7F">
      <w:pPr>
        <w:jc w:val="both"/>
      </w:pPr>
      <w:r>
        <w:t>Proračunski korisnici koji posluju s manjkom trebaju kroz financijski plan pokazati korekcije pogrešnih odluka iz prošlosti iz kojih su manjkovi proizašli i iznaći načine za njihovo pokriće. Manjkovi se mogu pokriti ili na teret novih izvora financiranja, odnosno rasta prihoda ili smanjenjem ukupne rashodovne strane u visini nastalih manjkova.</w:t>
      </w:r>
    </w:p>
    <w:p w:rsidR="00FB6D7F" w:rsidRDefault="00FB6D7F" w:rsidP="00FB6D7F">
      <w:pPr>
        <w:jc w:val="both"/>
      </w:pPr>
      <w:r>
        <w:t>Višak i manjak ne iskazuje se u financijskom planu na računima razreda 6/7 i 3/4, već se u sam financijski plan uključuje bilančna pozicija 922 Višak/manjak prihoda. Činjenica je da je konačni rezultat poslovanja poznat tek u siječnju godine za koju se donosi financijski plan pa se zbog toga prilikom planiranja tj. izrade financijskog plana u obzir uzima planirani rezultat poslovanja, odnosno njegova procjena rezultata poslovanja.</w:t>
      </w:r>
    </w:p>
    <w:p w:rsidR="00FB6D7F" w:rsidRDefault="00FB6D7F" w:rsidP="00FB6D7F">
      <w:pPr>
        <w:jc w:val="both"/>
      </w:pPr>
    </w:p>
    <w:p w:rsidR="00FB6D7F" w:rsidRPr="00FB6D7F" w:rsidRDefault="00FB6D7F" w:rsidP="00FB6D7F">
      <w:pPr>
        <w:rPr>
          <w:b/>
        </w:rPr>
      </w:pPr>
      <w:r>
        <w:rPr>
          <w:b/>
        </w:rPr>
        <w:t xml:space="preserve">7.  </w:t>
      </w:r>
      <w:r w:rsidRPr="00FB6D7F">
        <w:rPr>
          <w:b/>
        </w:rPr>
        <w:t xml:space="preserve">TERMINSKI PLAN ZA IZRADU PRORAČUNA I PRIJEDLOGA FINANCIJSKOG PLANA PRORAČUNSKOG KORISNIKA OPĆINE </w:t>
      </w:r>
      <w:r w:rsidR="003968D0">
        <w:rPr>
          <w:b/>
        </w:rPr>
        <w:t>KALNIK</w:t>
      </w:r>
    </w:p>
    <w:p w:rsidR="00FB6D7F" w:rsidRDefault="00FB6D7F" w:rsidP="00FB6D7F">
      <w:pPr>
        <w:jc w:val="both"/>
      </w:pPr>
      <w:r>
        <w:t xml:space="preserve">Sukladno članku 31. Zakona o proračunu, proračunski korisnici jedinica lokalne i područne (regionalne) samouprave dužni su dostaviti prijedlog financijski plana najkasnije do </w:t>
      </w:r>
      <w:r w:rsidRPr="00861120">
        <w:rPr>
          <w:b/>
        </w:rPr>
        <w:t>15. rujna tekuće godine</w:t>
      </w:r>
      <w:r>
        <w:t xml:space="preserve">. </w:t>
      </w:r>
    </w:p>
    <w:p w:rsidR="00FB6D7F" w:rsidRPr="00861120" w:rsidRDefault="00FB6D7F" w:rsidP="00FB6D7F">
      <w:pPr>
        <w:jc w:val="both"/>
        <w:rPr>
          <w:b/>
        </w:rPr>
      </w:pPr>
      <w:r>
        <w:t xml:space="preserve">Sukladno članku 37. Zakona o proračunu jedinstveni upravni odjel izrađuje nacrt proračuna za proračunsku godinu i projekciju za slijedeće dvije godine, te ih dostavlja načelniku do </w:t>
      </w:r>
      <w:r w:rsidRPr="00861120">
        <w:rPr>
          <w:b/>
        </w:rPr>
        <w:t xml:space="preserve">15. listopada tekuće godine. </w:t>
      </w:r>
    </w:p>
    <w:p w:rsidR="00FB6D7F" w:rsidRDefault="00FB6D7F" w:rsidP="00FB6D7F">
      <w:pPr>
        <w:jc w:val="both"/>
      </w:pPr>
      <w:r>
        <w:lastRenderedPageBreak/>
        <w:t xml:space="preserve">Sukladno članku 31. Zakona o proračunu općinski načelnik utvrđuje prijedlog proračuna i projekcije te ih podnosi predstavničkom tijelu na donošenje do </w:t>
      </w:r>
      <w:r w:rsidRPr="00861120">
        <w:rPr>
          <w:b/>
        </w:rPr>
        <w:t>15. studenog tekuće godine</w:t>
      </w:r>
      <w:r>
        <w:t xml:space="preserve">. </w:t>
      </w:r>
    </w:p>
    <w:p w:rsidR="00FB6D7F" w:rsidRDefault="00FB6D7F" w:rsidP="00FB6D7F">
      <w:pPr>
        <w:jc w:val="both"/>
      </w:pPr>
      <w:r>
        <w:t xml:space="preserve">Sukladno članku 39. Zakona o proračunu predstavničko tijelo donosi proračun na razini podskupine ekonomske klasifikacije za iduću proračunsku godinu i projekciju na razini skupine ekonomske klasifikacije za sljedeće dvije proračunske godine do konca tekuće godine i to u roku koji omogućuje primjenu proračuna s 1. siječnja godine za koju se odnosi proračun. </w:t>
      </w:r>
    </w:p>
    <w:p w:rsidR="00FB6D7F" w:rsidRDefault="00FB6D7F" w:rsidP="00FB6D7F">
      <w:pPr>
        <w:jc w:val="both"/>
      </w:pPr>
    </w:p>
    <w:p w:rsidR="00FB6D7F" w:rsidRPr="00FB6D7F" w:rsidRDefault="00FB6D7F" w:rsidP="00FB6D7F">
      <w:pPr>
        <w:jc w:val="both"/>
        <w:rPr>
          <w:b/>
        </w:rPr>
      </w:pPr>
      <w:r>
        <w:rPr>
          <w:b/>
        </w:rPr>
        <w:t xml:space="preserve">8.  </w:t>
      </w:r>
      <w:r w:rsidRPr="00FB6D7F">
        <w:rPr>
          <w:b/>
        </w:rPr>
        <w:t>PRIMJENA NAČELA TRANSPARENTNOSTI I DOSTUPNOST MATERIJALA</w:t>
      </w:r>
    </w:p>
    <w:p w:rsidR="00FB6D7F" w:rsidRPr="00E3211B" w:rsidRDefault="00FB6D7F" w:rsidP="00FB6D7F">
      <w:pPr>
        <w:jc w:val="both"/>
      </w:pPr>
      <w:r>
        <w:t>Da bi se osiguralo ostvarenje načela transparentnosti i slobodan pristup informacijama kao i njihovo povezivanje, preuzimanje i ponovno korištenje, preporučujemo da se svi navedeni materijali vezani uz proračun i njegove izmjene objavljuju u formatu pogodnom za daljnju obradu (word i excel). Nadalje, predlažemo pri izradi proračuna za razdoblje 2022.- 2024. uključivanje vremenske serije podataka od pet godina koja će sadržavati podatke o izvršenju proračuna za 2020., plan proračuna za 2021. te proračuna za 2022. i projekcija za 202</w:t>
      </w:r>
      <w:r w:rsidR="002B6E4A">
        <w:t>3</w:t>
      </w:r>
      <w:r>
        <w:t>. i 202</w:t>
      </w:r>
      <w:r w:rsidR="002B6E4A">
        <w:t>4</w:t>
      </w:r>
      <w:r>
        <w:t>.</w:t>
      </w:r>
    </w:p>
    <w:p w:rsidR="00FB6D7F" w:rsidRDefault="00FB6D7F" w:rsidP="00FB6D7F">
      <w:pPr>
        <w:jc w:val="both"/>
      </w:pPr>
      <w:r>
        <w:t xml:space="preserve">Na internet stranici Općine </w:t>
      </w:r>
      <w:r w:rsidR="00B167CF">
        <w:t>Kalnik</w:t>
      </w:r>
      <w:r>
        <w:t xml:space="preserve"> www.</w:t>
      </w:r>
      <w:r w:rsidR="00B167CF">
        <w:t>kalnik</w:t>
      </w:r>
      <w:r>
        <w:t xml:space="preserve">.hr nalaze se ove Upute za izradu prijedloga proračuna i financijskog plana proračunskih korisnika Općine </w:t>
      </w:r>
      <w:r w:rsidR="00B167CF">
        <w:t>Kalnik</w:t>
      </w:r>
      <w:r>
        <w:t xml:space="preserve"> za razdoblje 202</w:t>
      </w:r>
      <w:r w:rsidR="00B167CF">
        <w:t>2</w:t>
      </w:r>
      <w:r>
        <w:t>.-202</w:t>
      </w:r>
      <w:r w:rsidR="00B167CF">
        <w:t>4</w:t>
      </w:r>
      <w:r>
        <w:t xml:space="preserve">. godine. </w:t>
      </w:r>
    </w:p>
    <w:p w:rsidR="00FB6D7F" w:rsidRDefault="00FB6D7F" w:rsidP="00FB6D7F">
      <w:pPr>
        <w:jc w:val="both"/>
      </w:pPr>
      <w:r>
        <w:t>Na internet stranici Ministarstva financija www.mfin.hr/hr/lokalna-samouprava nalaze se Upute za izradu proračuna jedinica lokalne i područne (regionalne) samouprave  za razdoblje 202</w:t>
      </w:r>
      <w:r w:rsidR="00B167CF">
        <w:t>2</w:t>
      </w:r>
      <w:r>
        <w:t>. - 202</w:t>
      </w:r>
      <w:r w:rsidR="00B167CF">
        <w:t>4</w:t>
      </w:r>
      <w:r>
        <w:t>.</w:t>
      </w:r>
      <w:r w:rsidR="003968D0">
        <w:t xml:space="preserve">, </w:t>
      </w:r>
      <w:r w:rsidR="003968D0" w:rsidRPr="003968D0">
        <w:t>Model prijedloga financijskog plana proračunskog korisnika.</w:t>
      </w:r>
    </w:p>
    <w:p w:rsidR="00FB6D7F" w:rsidRDefault="00FB6D7F" w:rsidP="00FB6D7F">
      <w:pPr>
        <w:jc w:val="both"/>
      </w:pPr>
    </w:p>
    <w:p w:rsidR="00FB6D7F" w:rsidRDefault="00FB6D7F" w:rsidP="00FB6D7F"/>
    <w:p w:rsidR="00FB6D7F" w:rsidRDefault="00FB6D7F" w:rsidP="00FB6D7F"/>
    <w:p w:rsidR="00117DB6" w:rsidRPr="00706E04" w:rsidRDefault="00FB6D7F" w:rsidP="003968D0">
      <w:pPr>
        <w:rPr>
          <w:rFonts w:cs="Times New Roman"/>
          <w:b/>
          <w:sz w:val="24"/>
          <w:szCs w:val="24"/>
        </w:rPr>
      </w:pPr>
      <w:r>
        <w:tab/>
      </w:r>
      <w:r>
        <w:tab/>
      </w:r>
      <w:r>
        <w:tab/>
      </w:r>
      <w:r>
        <w:tab/>
      </w:r>
    </w:p>
    <w:p w:rsidR="007C28A5" w:rsidRPr="00706E04" w:rsidRDefault="007C28A5" w:rsidP="00706E04">
      <w:pPr>
        <w:spacing w:after="120"/>
        <w:jc w:val="both"/>
        <w:rPr>
          <w:rFonts w:cs="Times New Roman"/>
          <w:b/>
          <w:sz w:val="24"/>
          <w:szCs w:val="24"/>
        </w:rPr>
      </w:pPr>
    </w:p>
    <w:p w:rsidR="00B74F0F" w:rsidRDefault="00B74F0F" w:rsidP="00706E04">
      <w:pPr>
        <w:pBdr>
          <w:bottom w:val="single" w:sz="4" w:space="1" w:color="auto"/>
        </w:pBdr>
        <w:spacing w:after="120"/>
        <w:jc w:val="both"/>
        <w:rPr>
          <w:rFonts w:cs="Times New Roman"/>
          <w:sz w:val="24"/>
          <w:szCs w:val="24"/>
        </w:rPr>
      </w:pPr>
    </w:p>
    <w:p w:rsidR="003968D0" w:rsidRDefault="003968D0" w:rsidP="00706E04">
      <w:pPr>
        <w:pBdr>
          <w:bottom w:val="single" w:sz="4" w:space="1" w:color="auto"/>
        </w:pBdr>
        <w:spacing w:after="120"/>
        <w:jc w:val="both"/>
        <w:rPr>
          <w:rFonts w:cs="Times New Roman"/>
          <w:sz w:val="24"/>
          <w:szCs w:val="24"/>
        </w:rPr>
      </w:pPr>
    </w:p>
    <w:p w:rsidR="003968D0" w:rsidRDefault="003968D0" w:rsidP="00706E04">
      <w:pPr>
        <w:pBdr>
          <w:bottom w:val="single" w:sz="4" w:space="1" w:color="auto"/>
        </w:pBdr>
        <w:spacing w:after="120"/>
        <w:jc w:val="both"/>
        <w:rPr>
          <w:rFonts w:cs="Times New Roman"/>
          <w:sz w:val="24"/>
          <w:szCs w:val="24"/>
        </w:rPr>
      </w:pPr>
    </w:p>
    <w:p w:rsidR="003968D0" w:rsidRDefault="003968D0" w:rsidP="00706E04">
      <w:pPr>
        <w:pBdr>
          <w:bottom w:val="single" w:sz="4" w:space="1" w:color="auto"/>
        </w:pBdr>
        <w:spacing w:after="120"/>
        <w:jc w:val="both"/>
        <w:rPr>
          <w:rFonts w:cs="Times New Roman"/>
          <w:sz w:val="24"/>
          <w:szCs w:val="24"/>
        </w:rPr>
      </w:pPr>
    </w:p>
    <w:p w:rsidR="003968D0" w:rsidRDefault="003968D0" w:rsidP="00706E04">
      <w:pPr>
        <w:pBdr>
          <w:bottom w:val="single" w:sz="4" w:space="1" w:color="auto"/>
        </w:pBdr>
        <w:spacing w:after="120"/>
        <w:jc w:val="both"/>
        <w:rPr>
          <w:rFonts w:cs="Times New Roman"/>
          <w:sz w:val="24"/>
          <w:szCs w:val="24"/>
        </w:rPr>
      </w:pPr>
    </w:p>
    <w:p w:rsidR="003968D0" w:rsidRDefault="003968D0" w:rsidP="00706E04">
      <w:pPr>
        <w:pBdr>
          <w:bottom w:val="single" w:sz="4" w:space="1" w:color="auto"/>
        </w:pBdr>
        <w:spacing w:after="120"/>
        <w:jc w:val="both"/>
        <w:rPr>
          <w:rFonts w:cs="Times New Roman"/>
          <w:sz w:val="24"/>
          <w:szCs w:val="24"/>
        </w:rPr>
      </w:pPr>
    </w:p>
    <w:p w:rsidR="003968D0" w:rsidRDefault="003968D0" w:rsidP="00706E04">
      <w:pPr>
        <w:pBdr>
          <w:bottom w:val="single" w:sz="4" w:space="1" w:color="auto"/>
        </w:pBdr>
        <w:spacing w:after="120"/>
        <w:jc w:val="both"/>
        <w:rPr>
          <w:rFonts w:cs="Times New Roman"/>
          <w:sz w:val="24"/>
          <w:szCs w:val="24"/>
        </w:rPr>
      </w:pPr>
    </w:p>
    <w:p w:rsidR="003968D0" w:rsidRDefault="003968D0" w:rsidP="00706E04">
      <w:pPr>
        <w:pBdr>
          <w:bottom w:val="single" w:sz="4" w:space="1" w:color="auto"/>
        </w:pBdr>
        <w:spacing w:after="120"/>
        <w:jc w:val="both"/>
        <w:rPr>
          <w:rFonts w:cs="Times New Roman"/>
          <w:sz w:val="24"/>
          <w:szCs w:val="24"/>
        </w:rPr>
      </w:pPr>
    </w:p>
    <w:p w:rsidR="003968D0" w:rsidRPr="00706E04" w:rsidRDefault="003968D0" w:rsidP="00706E04">
      <w:pPr>
        <w:pBdr>
          <w:bottom w:val="single" w:sz="4" w:space="1" w:color="auto"/>
        </w:pBdr>
        <w:spacing w:after="120"/>
        <w:jc w:val="both"/>
        <w:rPr>
          <w:rFonts w:cs="Times New Roman"/>
          <w:sz w:val="24"/>
          <w:szCs w:val="24"/>
        </w:rPr>
      </w:pPr>
    </w:p>
    <w:sectPr w:rsidR="003968D0" w:rsidRPr="00706E04" w:rsidSect="00706E04">
      <w:pgSz w:w="11906" w:h="16838"/>
      <w:pgMar w:top="1135"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BA9"/>
    <w:multiLevelType w:val="hybridMultilevel"/>
    <w:tmpl w:val="09E853A0"/>
    <w:lvl w:ilvl="0" w:tplc="D31670CA">
      <w:numFmt w:val="bullet"/>
      <w:lvlText w:val="•"/>
      <w:lvlJc w:val="left"/>
      <w:pPr>
        <w:ind w:left="720" w:hanging="360"/>
      </w:pPr>
      <w:rPr>
        <w:rFonts w:ascii="Times New Roman" w:eastAsiaTheme="minorHAnsi" w:hAnsi="Times New Roman" w:cs="Times New Roman" w:hint="default"/>
      </w:rPr>
    </w:lvl>
    <w:lvl w:ilvl="1" w:tplc="D31670CA">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3D2234"/>
    <w:multiLevelType w:val="hybridMultilevel"/>
    <w:tmpl w:val="92F8BED2"/>
    <w:lvl w:ilvl="0" w:tplc="03202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5101CD"/>
    <w:multiLevelType w:val="hybridMultilevel"/>
    <w:tmpl w:val="C4547ED0"/>
    <w:lvl w:ilvl="0" w:tplc="07F8056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6C84482"/>
    <w:multiLevelType w:val="hybridMultilevel"/>
    <w:tmpl w:val="41F6D6D6"/>
    <w:lvl w:ilvl="0" w:tplc="FA6CB990">
      <w:start w:val="1"/>
      <w:numFmt w:val="decimal"/>
      <w:lvlText w:val="%1."/>
      <w:lvlJc w:val="left"/>
      <w:pPr>
        <w:ind w:left="927"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14E71D6E"/>
    <w:multiLevelType w:val="hybridMultilevel"/>
    <w:tmpl w:val="6CE85972"/>
    <w:lvl w:ilvl="0" w:tplc="D31670C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AF693F"/>
    <w:multiLevelType w:val="hybridMultilevel"/>
    <w:tmpl w:val="41F6D6D6"/>
    <w:lvl w:ilvl="0" w:tplc="FA6CB990">
      <w:start w:val="1"/>
      <w:numFmt w:val="decimal"/>
      <w:lvlText w:val="%1."/>
      <w:lvlJc w:val="left"/>
      <w:pPr>
        <w:ind w:left="927"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6" w15:restartNumberingAfterBreak="0">
    <w:nsid w:val="1F9603D6"/>
    <w:multiLevelType w:val="hybridMultilevel"/>
    <w:tmpl w:val="ADD07C32"/>
    <w:lvl w:ilvl="0" w:tplc="D31670CA">
      <w:numFmt w:val="bullet"/>
      <w:lvlText w:val="•"/>
      <w:lvlJc w:val="left"/>
      <w:pPr>
        <w:ind w:left="720" w:hanging="360"/>
      </w:pPr>
      <w:rPr>
        <w:rFonts w:ascii="Times New Roman" w:eastAsiaTheme="minorHAnsi" w:hAnsi="Times New Roman" w:cs="Times New Roman" w:hint="default"/>
      </w:rPr>
    </w:lvl>
    <w:lvl w:ilvl="1" w:tplc="1EB6AC34">
      <w:start w:val="2"/>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B02D24"/>
    <w:multiLevelType w:val="hybridMultilevel"/>
    <w:tmpl w:val="B1AA4084"/>
    <w:lvl w:ilvl="0" w:tplc="03202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D10FA9"/>
    <w:multiLevelType w:val="hybridMultilevel"/>
    <w:tmpl w:val="1C9269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68298E"/>
    <w:multiLevelType w:val="hybridMultilevel"/>
    <w:tmpl w:val="41F6D6D6"/>
    <w:lvl w:ilvl="0" w:tplc="FA6CB990">
      <w:start w:val="1"/>
      <w:numFmt w:val="decimal"/>
      <w:lvlText w:val="%1."/>
      <w:lvlJc w:val="left"/>
      <w:pPr>
        <w:ind w:left="927"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0" w15:restartNumberingAfterBreak="0">
    <w:nsid w:val="532D1DD1"/>
    <w:multiLevelType w:val="hybridMultilevel"/>
    <w:tmpl w:val="EC8EA084"/>
    <w:lvl w:ilvl="0" w:tplc="2AD2FEE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55130DBB"/>
    <w:multiLevelType w:val="hybridMultilevel"/>
    <w:tmpl w:val="53E857AC"/>
    <w:lvl w:ilvl="0" w:tplc="03202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D9310AE"/>
    <w:multiLevelType w:val="hybridMultilevel"/>
    <w:tmpl w:val="1324A3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366E25"/>
    <w:multiLevelType w:val="hybridMultilevel"/>
    <w:tmpl w:val="A89839A4"/>
    <w:lvl w:ilvl="0" w:tplc="D31670C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DFB787D"/>
    <w:multiLevelType w:val="hybridMultilevel"/>
    <w:tmpl w:val="3C723910"/>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6EE81208"/>
    <w:multiLevelType w:val="hybridMultilevel"/>
    <w:tmpl w:val="F6084710"/>
    <w:lvl w:ilvl="0" w:tplc="D31670C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69327BA"/>
    <w:multiLevelType w:val="hybridMultilevel"/>
    <w:tmpl w:val="90B03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2"/>
  </w:num>
  <w:num w:numId="7">
    <w:abstractNumId w:val="16"/>
  </w:num>
  <w:num w:numId="8">
    <w:abstractNumId w:val="6"/>
  </w:num>
  <w:num w:numId="9">
    <w:abstractNumId w:val="4"/>
  </w:num>
  <w:num w:numId="10">
    <w:abstractNumId w:val="14"/>
  </w:num>
  <w:num w:numId="11">
    <w:abstractNumId w:val="10"/>
  </w:num>
  <w:num w:numId="12">
    <w:abstractNumId w:val="15"/>
  </w:num>
  <w:num w:numId="13">
    <w:abstractNumId w:val="0"/>
  </w:num>
  <w:num w:numId="14">
    <w:abstractNumId w:val="13"/>
  </w:num>
  <w:num w:numId="15">
    <w:abstractNumId w:val="7"/>
  </w:num>
  <w:num w:numId="16">
    <w:abstractNumId w:val="11"/>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79"/>
    <w:rsid w:val="00010B6E"/>
    <w:rsid w:val="00013A49"/>
    <w:rsid w:val="00013DC8"/>
    <w:rsid w:val="00030D7E"/>
    <w:rsid w:val="000334D9"/>
    <w:rsid w:val="00035022"/>
    <w:rsid w:val="0003513B"/>
    <w:rsid w:val="0003721F"/>
    <w:rsid w:val="0004102E"/>
    <w:rsid w:val="000438F5"/>
    <w:rsid w:val="00072A08"/>
    <w:rsid w:val="0008502A"/>
    <w:rsid w:val="00093023"/>
    <w:rsid w:val="00096078"/>
    <w:rsid w:val="00097993"/>
    <w:rsid w:val="000A2BBE"/>
    <w:rsid w:val="000F322D"/>
    <w:rsid w:val="00117DB6"/>
    <w:rsid w:val="0012595F"/>
    <w:rsid w:val="00127FEB"/>
    <w:rsid w:val="00131EC9"/>
    <w:rsid w:val="00132E72"/>
    <w:rsid w:val="00137FBF"/>
    <w:rsid w:val="00140466"/>
    <w:rsid w:val="00142BAF"/>
    <w:rsid w:val="0015198D"/>
    <w:rsid w:val="00162AEC"/>
    <w:rsid w:val="001733C9"/>
    <w:rsid w:val="001B4602"/>
    <w:rsid w:val="001C6314"/>
    <w:rsid w:val="001C730F"/>
    <w:rsid w:val="001D5650"/>
    <w:rsid w:val="001E2388"/>
    <w:rsid w:val="00203F33"/>
    <w:rsid w:val="00212D7A"/>
    <w:rsid w:val="00232E3D"/>
    <w:rsid w:val="002374FC"/>
    <w:rsid w:val="00241F98"/>
    <w:rsid w:val="002454D4"/>
    <w:rsid w:val="002468C2"/>
    <w:rsid w:val="002504DD"/>
    <w:rsid w:val="00255692"/>
    <w:rsid w:val="00264CD4"/>
    <w:rsid w:val="00287F35"/>
    <w:rsid w:val="002A162C"/>
    <w:rsid w:val="002A3BCD"/>
    <w:rsid w:val="002A77F8"/>
    <w:rsid w:val="002B6E4A"/>
    <w:rsid w:val="002B7A73"/>
    <w:rsid w:val="002C1026"/>
    <w:rsid w:val="002E3E87"/>
    <w:rsid w:val="002F236E"/>
    <w:rsid w:val="002F5076"/>
    <w:rsid w:val="002F5CBE"/>
    <w:rsid w:val="003120B4"/>
    <w:rsid w:val="0031214E"/>
    <w:rsid w:val="003135A7"/>
    <w:rsid w:val="00336D40"/>
    <w:rsid w:val="003534BC"/>
    <w:rsid w:val="003571A0"/>
    <w:rsid w:val="00361009"/>
    <w:rsid w:val="00370E8A"/>
    <w:rsid w:val="003744B9"/>
    <w:rsid w:val="0038377E"/>
    <w:rsid w:val="003968D0"/>
    <w:rsid w:val="003B7198"/>
    <w:rsid w:val="003C1942"/>
    <w:rsid w:val="003C6DC1"/>
    <w:rsid w:val="003E096B"/>
    <w:rsid w:val="003E3BBD"/>
    <w:rsid w:val="003E4FA6"/>
    <w:rsid w:val="003F3F26"/>
    <w:rsid w:val="0042302A"/>
    <w:rsid w:val="00423DA3"/>
    <w:rsid w:val="0043352C"/>
    <w:rsid w:val="004362FA"/>
    <w:rsid w:val="004515E3"/>
    <w:rsid w:val="00461933"/>
    <w:rsid w:val="00461C39"/>
    <w:rsid w:val="004666CF"/>
    <w:rsid w:val="0047086A"/>
    <w:rsid w:val="00482F7D"/>
    <w:rsid w:val="00486FDB"/>
    <w:rsid w:val="004A2AB3"/>
    <w:rsid w:val="004A78F7"/>
    <w:rsid w:val="004C776C"/>
    <w:rsid w:val="004E661C"/>
    <w:rsid w:val="004F6DD0"/>
    <w:rsid w:val="00506A58"/>
    <w:rsid w:val="00540358"/>
    <w:rsid w:val="00541AA5"/>
    <w:rsid w:val="00544730"/>
    <w:rsid w:val="005466C4"/>
    <w:rsid w:val="00552674"/>
    <w:rsid w:val="005717E4"/>
    <w:rsid w:val="00571A38"/>
    <w:rsid w:val="00583E72"/>
    <w:rsid w:val="0059212B"/>
    <w:rsid w:val="005A71A4"/>
    <w:rsid w:val="005B7C16"/>
    <w:rsid w:val="005C5A8A"/>
    <w:rsid w:val="005D2726"/>
    <w:rsid w:val="00602F5E"/>
    <w:rsid w:val="006248BA"/>
    <w:rsid w:val="0062646D"/>
    <w:rsid w:val="00647269"/>
    <w:rsid w:val="006477A4"/>
    <w:rsid w:val="00661AAC"/>
    <w:rsid w:val="00662831"/>
    <w:rsid w:val="0066728A"/>
    <w:rsid w:val="00677458"/>
    <w:rsid w:val="00686FD3"/>
    <w:rsid w:val="006F094C"/>
    <w:rsid w:val="00706E04"/>
    <w:rsid w:val="00722B04"/>
    <w:rsid w:val="00747628"/>
    <w:rsid w:val="00762282"/>
    <w:rsid w:val="00762EA2"/>
    <w:rsid w:val="00763FE9"/>
    <w:rsid w:val="00765DB8"/>
    <w:rsid w:val="00773E51"/>
    <w:rsid w:val="007815C8"/>
    <w:rsid w:val="00785F05"/>
    <w:rsid w:val="00787321"/>
    <w:rsid w:val="00797F78"/>
    <w:rsid w:val="007A5B24"/>
    <w:rsid w:val="007B48B1"/>
    <w:rsid w:val="007C28A5"/>
    <w:rsid w:val="007D4359"/>
    <w:rsid w:val="007E2018"/>
    <w:rsid w:val="00800B16"/>
    <w:rsid w:val="00802F9E"/>
    <w:rsid w:val="00805BD5"/>
    <w:rsid w:val="00836A54"/>
    <w:rsid w:val="00841D2C"/>
    <w:rsid w:val="00842A8D"/>
    <w:rsid w:val="0085093C"/>
    <w:rsid w:val="00864EA0"/>
    <w:rsid w:val="00874A47"/>
    <w:rsid w:val="00876DD6"/>
    <w:rsid w:val="008876B9"/>
    <w:rsid w:val="00897068"/>
    <w:rsid w:val="008A2DD3"/>
    <w:rsid w:val="008A61DD"/>
    <w:rsid w:val="008B0AC8"/>
    <w:rsid w:val="008B191B"/>
    <w:rsid w:val="008B68B8"/>
    <w:rsid w:val="008C1F2F"/>
    <w:rsid w:val="008E4139"/>
    <w:rsid w:val="008F15BA"/>
    <w:rsid w:val="008F1B0B"/>
    <w:rsid w:val="00901038"/>
    <w:rsid w:val="0090131F"/>
    <w:rsid w:val="00904A1C"/>
    <w:rsid w:val="00907AE7"/>
    <w:rsid w:val="0093463C"/>
    <w:rsid w:val="00934FA1"/>
    <w:rsid w:val="009556D2"/>
    <w:rsid w:val="00955DCA"/>
    <w:rsid w:val="00970641"/>
    <w:rsid w:val="00981BDB"/>
    <w:rsid w:val="009B7A46"/>
    <w:rsid w:val="009D52CC"/>
    <w:rsid w:val="009E6AED"/>
    <w:rsid w:val="00A04271"/>
    <w:rsid w:val="00A11AF8"/>
    <w:rsid w:val="00A12D10"/>
    <w:rsid w:val="00A238CC"/>
    <w:rsid w:val="00A41E1A"/>
    <w:rsid w:val="00A41E84"/>
    <w:rsid w:val="00A53A41"/>
    <w:rsid w:val="00A57235"/>
    <w:rsid w:val="00A83129"/>
    <w:rsid w:val="00A833FB"/>
    <w:rsid w:val="00A942B9"/>
    <w:rsid w:val="00AA5055"/>
    <w:rsid w:val="00AD4EBA"/>
    <w:rsid w:val="00AE1E3C"/>
    <w:rsid w:val="00AF49FB"/>
    <w:rsid w:val="00B0062C"/>
    <w:rsid w:val="00B03D7C"/>
    <w:rsid w:val="00B0574D"/>
    <w:rsid w:val="00B167CF"/>
    <w:rsid w:val="00B33422"/>
    <w:rsid w:val="00B415F7"/>
    <w:rsid w:val="00B50F62"/>
    <w:rsid w:val="00B611E5"/>
    <w:rsid w:val="00B7430B"/>
    <w:rsid w:val="00B74F0F"/>
    <w:rsid w:val="00B86A43"/>
    <w:rsid w:val="00B96228"/>
    <w:rsid w:val="00BB66A5"/>
    <w:rsid w:val="00BC2C02"/>
    <w:rsid w:val="00BC4EA3"/>
    <w:rsid w:val="00BC7BFB"/>
    <w:rsid w:val="00BF1FB7"/>
    <w:rsid w:val="00C10EE5"/>
    <w:rsid w:val="00C13182"/>
    <w:rsid w:val="00C26457"/>
    <w:rsid w:val="00C32678"/>
    <w:rsid w:val="00C3455F"/>
    <w:rsid w:val="00C35774"/>
    <w:rsid w:val="00C35FE9"/>
    <w:rsid w:val="00C43D3B"/>
    <w:rsid w:val="00C44DF6"/>
    <w:rsid w:val="00C64509"/>
    <w:rsid w:val="00C91E39"/>
    <w:rsid w:val="00C92EAA"/>
    <w:rsid w:val="00C93986"/>
    <w:rsid w:val="00C944BA"/>
    <w:rsid w:val="00CA2388"/>
    <w:rsid w:val="00CA23B2"/>
    <w:rsid w:val="00CA3290"/>
    <w:rsid w:val="00CB021E"/>
    <w:rsid w:val="00CB21A1"/>
    <w:rsid w:val="00CC1577"/>
    <w:rsid w:val="00CC34FA"/>
    <w:rsid w:val="00CD2C4C"/>
    <w:rsid w:val="00CE1E9E"/>
    <w:rsid w:val="00CF2F1F"/>
    <w:rsid w:val="00D27CF6"/>
    <w:rsid w:val="00D30D61"/>
    <w:rsid w:val="00D35479"/>
    <w:rsid w:val="00D36D43"/>
    <w:rsid w:val="00D3720B"/>
    <w:rsid w:val="00D66747"/>
    <w:rsid w:val="00D769F8"/>
    <w:rsid w:val="00D8098F"/>
    <w:rsid w:val="00D82517"/>
    <w:rsid w:val="00D85631"/>
    <w:rsid w:val="00DB5CCF"/>
    <w:rsid w:val="00DB6120"/>
    <w:rsid w:val="00DC5FE6"/>
    <w:rsid w:val="00DD0974"/>
    <w:rsid w:val="00DD2FF0"/>
    <w:rsid w:val="00DE3286"/>
    <w:rsid w:val="00E11AF4"/>
    <w:rsid w:val="00E27B2B"/>
    <w:rsid w:val="00E41E2D"/>
    <w:rsid w:val="00E47D45"/>
    <w:rsid w:val="00E523FB"/>
    <w:rsid w:val="00E54446"/>
    <w:rsid w:val="00E5675F"/>
    <w:rsid w:val="00E61B4E"/>
    <w:rsid w:val="00E803AE"/>
    <w:rsid w:val="00E9083A"/>
    <w:rsid w:val="00E96404"/>
    <w:rsid w:val="00E97987"/>
    <w:rsid w:val="00EB3896"/>
    <w:rsid w:val="00F27643"/>
    <w:rsid w:val="00F2791C"/>
    <w:rsid w:val="00F47AE5"/>
    <w:rsid w:val="00F65449"/>
    <w:rsid w:val="00F67F1B"/>
    <w:rsid w:val="00F923FF"/>
    <w:rsid w:val="00FA6F59"/>
    <w:rsid w:val="00FB6D7F"/>
    <w:rsid w:val="00FC5805"/>
    <w:rsid w:val="00FD4C59"/>
    <w:rsid w:val="00FE7E89"/>
    <w:rsid w:val="00FF48E9"/>
    <w:rsid w:val="00FF7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95EB"/>
  <w15:docId w15:val="{24DD5C1D-2D6B-49C5-BB8C-0C353834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1"/>
    <w:qFormat/>
    <w:rsid w:val="007C28A5"/>
    <w:pPr>
      <w:ind w:left="720"/>
      <w:contextualSpacing/>
    </w:pPr>
  </w:style>
  <w:style w:type="character" w:styleId="Hiperveza">
    <w:name w:val="Hyperlink"/>
    <w:basedOn w:val="Zadanifontodlomka"/>
    <w:uiPriority w:val="99"/>
    <w:unhideWhenUsed/>
    <w:rsid w:val="001C730F"/>
    <w:rPr>
      <w:color w:val="0000FF" w:themeColor="hyperlink"/>
      <w:u w:val="single"/>
    </w:rPr>
  </w:style>
  <w:style w:type="paragraph" w:styleId="Bezproreda">
    <w:name w:val="No Spacing"/>
    <w:uiPriority w:val="1"/>
    <w:qFormat/>
    <w:rsid w:val="00907AE7"/>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66728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7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76165">
      <w:bodyDiv w:val="1"/>
      <w:marLeft w:val="0"/>
      <w:marRight w:val="0"/>
      <w:marTop w:val="0"/>
      <w:marBottom w:val="0"/>
      <w:divBdr>
        <w:top w:val="none" w:sz="0" w:space="0" w:color="auto"/>
        <w:left w:val="none" w:sz="0" w:space="0" w:color="auto"/>
        <w:bottom w:val="none" w:sz="0" w:space="0" w:color="auto"/>
        <w:right w:val="none" w:sz="0" w:space="0" w:color="auto"/>
      </w:divBdr>
    </w:div>
    <w:div w:id="973948191">
      <w:bodyDiv w:val="1"/>
      <w:marLeft w:val="0"/>
      <w:marRight w:val="0"/>
      <w:marTop w:val="0"/>
      <w:marBottom w:val="0"/>
      <w:divBdr>
        <w:top w:val="none" w:sz="0" w:space="0" w:color="auto"/>
        <w:left w:val="none" w:sz="0" w:space="0" w:color="auto"/>
        <w:bottom w:val="none" w:sz="0" w:space="0" w:color="auto"/>
        <w:right w:val="none" w:sz="0" w:space="0" w:color="auto"/>
      </w:divBdr>
    </w:div>
    <w:div w:id="1186288141">
      <w:bodyDiv w:val="1"/>
      <w:marLeft w:val="0"/>
      <w:marRight w:val="0"/>
      <w:marTop w:val="0"/>
      <w:marBottom w:val="0"/>
      <w:divBdr>
        <w:top w:val="none" w:sz="0" w:space="0" w:color="auto"/>
        <w:left w:val="none" w:sz="0" w:space="0" w:color="auto"/>
        <w:bottom w:val="none" w:sz="0" w:space="0" w:color="auto"/>
        <w:right w:val="none" w:sz="0" w:space="0" w:color="auto"/>
      </w:divBdr>
    </w:div>
    <w:div w:id="1523934196">
      <w:bodyDiv w:val="1"/>
      <w:marLeft w:val="0"/>
      <w:marRight w:val="0"/>
      <w:marTop w:val="0"/>
      <w:marBottom w:val="0"/>
      <w:divBdr>
        <w:top w:val="none" w:sz="0" w:space="0" w:color="auto"/>
        <w:left w:val="none" w:sz="0" w:space="0" w:color="auto"/>
        <w:bottom w:val="none" w:sz="0" w:space="0" w:color="auto"/>
        <w:right w:val="none" w:sz="0" w:space="0" w:color="auto"/>
      </w:divBdr>
    </w:div>
    <w:div w:id="1770848851">
      <w:bodyDiv w:val="1"/>
      <w:marLeft w:val="0"/>
      <w:marRight w:val="0"/>
      <w:marTop w:val="0"/>
      <w:marBottom w:val="0"/>
      <w:divBdr>
        <w:top w:val="none" w:sz="0" w:space="0" w:color="auto"/>
        <w:left w:val="none" w:sz="0" w:space="0" w:color="auto"/>
        <w:bottom w:val="none" w:sz="0" w:space="0" w:color="auto"/>
        <w:right w:val="none" w:sz="0" w:space="0" w:color="auto"/>
      </w:divBdr>
    </w:div>
    <w:div w:id="1794132714">
      <w:bodyDiv w:val="1"/>
      <w:marLeft w:val="0"/>
      <w:marRight w:val="0"/>
      <w:marTop w:val="0"/>
      <w:marBottom w:val="0"/>
      <w:divBdr>
        <w:top w:val="none" w:sz="0" w:space="0" w:color="auto"/>
        <w:left w:val="none" w:sz="0" w:space="0" w:color="auto"/>
        <w:bottom w:val="none" w:sz="0" w:space="0" w:color="auto"/>
        <w:right w:val="none" w:sz="0" w:space="0" w:color="auto"/>
      </w:divBdr>
    </w:div>
    <w:div w:id="187167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9</Pages>
  <Words>3594</Words>
  <Characters>20490</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Mirela</dc:creator>
  <cp:lastModifiedBy>Računovostvo</cp:lastModifiedBy>
  <cp:revision>12</cp:revision>
  <cp:lastPrinted>2020-10-21T11:37:00Z</cp:lastPrinted>
  <dcterms:created xsi:type="dcterms:W3CDTF">2021-10-15T12:32:00Z</dcterms:created>
  <dcterms:modified xsi:type="dcterms:W3CDTF">2021-10-18T08:55:00Z</dcterms:modified>
</cp:coreProperties>
</file>